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ED6B" w14:textId="12EF1189" w:rsidR="00CF64DF" w:rsidRPr="006C313B" w:rsidRDefault="00134763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…………………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, </w:t>
      </w:r>
      <w:r w:rsidR="006C313B">
        <w:rPr>
          <w:rFonts w:ascii="Arial" w:eastAsia="Times New Roman" w:hAnsi="Arial"/>
          <w:sz w:val="22"/>
          <w:szCs w:val="22"/>
        </w:rPr>
        <w:t>…………….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202</w:t>
      </w:r>
      <w:r w:rsidR="00DC131A">
        <w:rPr>
          <w:rFonts w:ascii="Arial" w:eastAsia="Times New Roman" w:hAnsi="Arial"/>
          <w:sz w:val="22"/>
          <w:szCs w:val="22"/>
        </w:rPr>
        <w:t>2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roku</w:t>
      </w:r>
    </w:p>
    <w:p w14:paraId="5E1406B9" w14:textId="59569F14" w:rsidR="009A14A1" w:rsidRPr="006C313B" w:rsidRDefault="009A14A1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4BC4A410" w14:textId="49A0E561" w:rsidR="00385660" w:rsidRPr="006C313B" w:rsidRDefault="00D35383" w:rsidP="0038566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SĄD REJONOWY </w:t>
      </w:r>
      <w:r w:rsidR="006C313B">
        <w:rPr>
          <w:rFonts w:ascii="Arial" w:eastAsia="Times New Roman" w:hAnsi="Arial"/>
          <w:b/>
          <w:sz w:val="22"/>
          <w:szCs w:val="22"/>
        </w:rPr>
        <w:t>………………</w:t>
      </w:r>
    </w:p>
    <w:p w14:paraId="2D0B63F7" w14:textId="0ADD5D4A" w:rsidR="00D564D0" w:rsidRPr="006C313B" w:rsidRDefault="00D564D0" w:rsidP="00134763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D35383" w:rsidRPr="006C313B">
        <w:rPr>
          <w:rFonts w:ascii="Arial" w:eastAsia="Times New Roman" w:hAnsi="Arial"/>
          <w:b/>
          <w:sz w:val="22"/>
          <w:szCs w:val="22"/>
        </w:rPr>
        <w:t xml:space="preserve">WYDZIAŁ </w:t>
      </w:r>
      <w:r w:rsidR="000E02BB" w:rsidRPr="006C313B">
        <w:rPr>
          <w:rFonts w:ascii="Arial" w:eastAsia="Times New Roman" w:hAnsi="Arial"/>
          <w:b/>
          <w:sz w:val="22"/>
          <w:szCs w:val="22"/>
        </w:rPr>
        <w:t>II KARNY</w:t>
      </w:r>
      <w:r w:rsidR="00D35383" w:rsidRPr="006C313B">
        <w:rPr>
          <w:rFonts w:ascii="Arial" w:eastAsia="Times New Roman" w:hAnsi="Arial"/>
          <w:sz w:val="22"/>
          <w:szCs w:val="22"/>
        </w:rPr>
        <w:br/>
      </w:r>
      <w:r w:rsidR="00D35383"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</w:t>
      </w:r>
    </w:p>
    <w:p w14:paraId="2906B387" w14:textId="08178F33" w:rsidR="00134763" w:rsidRPr="006C313B" w:rsidRDefault="00D564D0" w:rsidP="00D564D0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………………..</w:t>
      </w:r>
    </w:p>
    <w:p w14:paraId="6A97B70F" w14:textId="77777777" w:rsidR="0067626A" w:rsidRPr="006C313B" w:rsidRDefault="0067626A" w:rsidP="00134763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2C2D3BA" w14:textId="3C9DBE78" w:rsidR="00C502BD" w:rsidRPr="006C313B" w:rsidRDefault="00C502BD" w:rsidP="003A49BE">
      <w:pPr>
        <w:tabs>
          <w:tab w:val="left" w:pos="1276"/>
        </w:tabs>
        <w:spacing w:line="366" w:lineRule="auto"/>
        <w:ind w:left="1440" w:hanging="1440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>SYGN. AKT</w:t>
      </w:r>
      <w:r w:rsidR="00D564D0" w:rsidRPr="006C313B">
        <w:rPr>
          <w:rFonts w:ascii="Arial" w:eastAsia="Times New Roman" w:hAnsi="Arial"/>
          <w:sz w:val="22"/>
          <w:szCs w:val="22"/>
        </w:rPr>
        <w:t>:</w:t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C4046C" w:rsidRPr="006C313B">
        <w:rPr>
          <w:rFonts w:ascii="Arial" w:eastAsia="Times New Roman" w:hAnsi="Arial"/>
          <w:sz w:val="22"/>
          <w:szCs w:val="22"/>
        </w:rPr>
        <w:t>……………</w:t>
      </w:r>
      <w:r w:rsidR="00385660" w:rsidRPr="006C313B">
        <w:rPr>
          <w:rFonts w:ascii="Arial" w:eastAsia="Times New Roman" w:hAnsi="Arial"/>
          <w:sz w:val="22"/>
          <w:szCs w:val="22"/>
        </w:rPr>
        <w:t xml:space="preserve"> </w:t>
      </w:r>
    </w:p>
    <w:p w14:paraId="57414908" w14:textId="4CF68B9D" w:rsidR="00134763" w:rsidRPr="006C313B" w:rsidRDefault="00F76950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OSKARŻONY</w:t>
      </w:r>
      <w:r w:rsidR="00BC4D92" w:rsidRPr="006C313B">
        <w:rPr>
          <w:rFonts w:ascii="Arial" w:eastAsia="Times New Roman" w:hAnsi="Arial"/>
          <w:sz w:val="22"/>
          <w:szCs w:val="22"/>
        </w:rPr>
        <w:t>:</w:t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C4046C" w:rsidRPr="006C313B">
        <w:rPr>
          <w:rFonts w:ascii="Arial" w:eastAsia="Times New Roman" w:hAnsi="Arial"/>
          <w:b/>
          <w:sz w:val="22"/>
          <w:szCs w:val="22"/>
        </w:rPr>
        <w:t>…………………….</w:t>
      </w:r>
      <w:r w:rsidR="00D564D0" w:rsidRPr="006C313B">
        <w:rPr>
          <w:rFonts w:ascii="Arial" w:eastAsia="Times New Roman" w:hAnsi="Arial"/>
          <w:sz w:val="22"/>
          <w:szCs w:val="22"/>
        </w:rPr>
        <w:t xml:space="preserve">, </w:t>
      </w:r>
      <w:r w:rsidR="000E02BB" w:rsidRPr="006C313B">
        <w:rPr>
          <w:rFonts w:ascii="Arial" w:eastAsia="Times New Roman" w:hAnsi="Arial"/>
          <w:sz w:val="22"/>
          <w:szCs w:val="22"/>
        </w:rPr>
        <w:t>adres w aktach</w:t>
      </w:r>
    </w:p>
    <w:p w14:paraId="7E9BA1AA" w14:textId="7413009D" w:rsidR="003A0EEA" w:rsidRPr="006C313B" w:rsidRDefault="003A0EEA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występujący z obrońcą – </w:t>
      </w:r>
      <w:r w:rsidR="006C313B">
        <w:rPr>
          <w:rFonts w:ascii="Arial" w:eastAsia="Times New Roman" w:hAnsi="Arial"/>
          <w:b/>
          <w:sz w:val="22"/>
          <w:szCs w:val="22"/>
        </w:rPr>
        <w:t>…………………………</w:t>
      </w:r>
    </w:p>
    <w:p w14:paraId="3395F28A" w14:textId="1FE9768A" w:rsidR="003A0EEA" w:rsidRPr="006C313B" w:rsidRDefault="003A0EEA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adres do doręczeń: ul. </w:t>
      </w:r>
      <w:r w:rsidR="006C313B">
        <w:rPr>
          <w:rFonts w:ascii="Arial" w:eastAsia="Times New Roman" w:hAnsi="Arial"/>
          <w:sz w:val="22"/>
          <w:szCs w:val="22"/>
        </w:rPr>
        <w:t>……………………………</w:t>
      </w:r>
    </w:p>
    <w:p w14:paraId="1A8674AC" w14:textId="77777777" w:rsidR="00D564D0" w:rsidRPr="006C313B" w:rsidRDefault="00D564D0" w:rsidP="00134763">
      <w:pPr>
        <w:tabs>
          <w:tab w:val="left" w:pos="127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406C30EA" w14:textId="77777777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WNIOSEK</w:t>
      </w:r>
    </w:p>
    <w:p w14:paraId="119D5B26" w14:textId="77777777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 przedmiocie przyznania kosztów postępowania</w:t>
      </w:r>
    </w:p>
    <w:p w14:paraId="5CBE87FC" w14:textId="20D475EA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z uwzględnieniem </w:t>
      </w:r>
      <w:r w:rsidR="008C5FAA" w:rsidRPr="006C313B">
        <w:rPr>
          <w:rFonts w:ascii="Arial" w:eastAsia="Times New Roman" w:hAnsi="Arial"/>
          <w:b/>
          <w:sz w:val="22"/>
          <w:szCs w:val="22"/>
        </w:rPr>
        <w:t>rozproszonej kontroli konstytucyjności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</w:t>
      </w:r>
      <w:r w:rsidR="00FD13C7">
        <w:rPr>
          <w:rFonts w:ascii="Arial" w:eastAsia="Times New Roman" w:hAnsi="Arial"/>
          <w:b/>
          <w:sz w:val="22"/>
          <w:szCs w:val="22"/>
        </w:rPr>
        <w:t>przepisów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</w:t>
      </w:r>
      <w:r w:rsidRPr="006C313B">
        <w:rPr>
          <w:rFonts w:ascii="Arial" w:eastAsia="Times New Roman" w:hAnsi="Arial"/>
          <w:b/>
          <w:sz w:val="22"/>
          <w:szCs w:val="22"/>
        </w:rPr>
        <w:br/>
        <w:t>rozporządzenia Ministra Sprawiedliwości z dnia 3 października 2016 roku</w:t>
      </w:r>
      <w:r w:rsidR="00FD13C7">
        <w:rPr>
          <w:rFonts w:ascii="Arial" w:eastAsia="Times New Roman" w:hAnsi="Arial"/>
          <w:b/>
          <w:sz w:val="22"/>
          <w:szCs w:val="22"/>
        </w:rPr>
        <w:br/>
        <w:t xml:space="preserve">  </w:t>
      </w:r>
      <w:r w:rsidR="00FD13C7">
        <w:rPr>
          <w:rFonts w:ascii="Arial" w:eastAsia="Times New Roman" w:hAnsi="Arial"/>
          <w:bCs/>
          <w:sz w:val="22"/>
          <w:szCs w:val="22"/>
        </w:rPr>
        <w:t>(Dz. U. 2016 poz. 1714)</w:t>
      </w:r>
    </w:p>
    <w:p w14:paraId="1473BDD2" w14:textId="77777777" w:rsidR="00704A96" w:rsidRPr="006C313B" w:rsidRDefault="00704A96" w:rsidP="00704A96">
      <w:pPr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6F3E74B1" w14:textId="64A3F093" w:rsidR="0073145D" w:rsidRDefault="00704A96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Działając </w:t>
      </w:r>
      <w:r w:rsidRPr="00225D60">
        <w:rPr>
          <w:rFonts w:ascii="Arial" w:eastAsia="Times New Roman" w:hAnsi="Arial"/>
          <w:sz w:val="22"/>
          <w:szCs w:val="22"/>
        </w:rPr>
        <w:t>jako obrońca z urzędu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73145D">
        <w:rPr>
          <w:rFonts w:ascii="Arial" w:eastAsia="Times New Roman" w:hAnsi="Arial"/>
          <w:sz w:val="22"/>
          <w:szCs w:val="22"/>
        </w:rPr>
        <w:t xml:space="preserve">dla </w:t>
      </w:r>
      <w:r w:rsidR="00C4046C" w:rsidRPr="00225D60">
        <w:rPr>
          <w:rFonts w:ascii="Arial" w:eastAsia="Times New Roman" w:hAnsi="Arial"/>
          <w:b/>
          <w:bCs/>
          <w:sz w:val="22"/>
          <w:szCs w:val="22"/>
        </w:rPr>
        <w:t>…………………….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>,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225D60">
        <w:rPr>
          <w:rFonts w:ascii="Arial" w:eastAsia="Times New Roman" w:hAnsi="Arial"/>
          <w:sz w:val="22"/>
          <w:szCs w:val="22"/>
        </w:rPr>
        <w:t xml:space="preserve">zwracam się z wnioskiem </w:t>
      </w:r>
      <w:r w:rsidRPr="00225D60">
        <w:rPr>
          <w:rFonts w:ascii="Arial" w:eastAsia="Times New Roman" w:hAnsi="Arial"/>
          <w:sz w:val="22"/>
          <w:szCs w:val="22"/>
        </w:rPr>
        <w:br/>
        <w:t xml:space="preserve">o przyznanie od Skarbu Państwa na moją rzecz </w:t>
      </w:r>
      <w:r w:rsidRPr="00225D60">
        <w:rPr>
          <w:rFonts w:ascii="Arial" w:eastAsia="Times New Roman" w:hAnsi="Arial"/>
          <w:b/>
          <w:bCs/>
          <w:sz w:val="22"/>
          <w:szCs w:val="22"/>
        </w:rPr>
        <w:t>kosztów nieopłaconej pomocy prawnej udzielonej z urzędu</w:t>
      </w:r>
      <w:r w:rsidRPr="00225D60">
        <w:rPr>
          <w:rFonts w:ascii="Arial" w:eastAsia="Times New Roman" w:hAnsi="Arial"/>
          <w:sz w:val="22"/>
          <w:szCs w:val="22"/>
        </w:rPr>
        <w:t xml:space="preserve">, w postępowaniu przed Sądem </w:t>
      </w:r>
      <w:r w:rsidR="00B817A3">
        <w:rPr>
          <w:rFonts w:ascii="Arial" w:eastAsia="Times New Roman" w:hAnsi="Arial"/>
          <w:sz w:val="22"/>
          <w:szCs w:val="22"/>
        </w:rPr>
        <w:t xml:space="preserve">Rejonowym </w:t>
      </w:r>
      <w:r w:rsidR="0073145D">
        <w:rPr>
          <w:rFonts w:ascii="Arial" w:eastAsia="Times New Roman" w:hAnsi="Arial"/>
          <w:sz w:val="22"/>
          <w:szCs w:val="22"/>
        </w:rPr>
        <w:t>w …………….. Wydział II Karny, sygn. akt. ……………… w stawce …………………… + VAT tj. ………………………….</w:t>
      </w:r>
    </w:p>
    <w:p w14:paraId="42A5E949" w14:textId="77777777" w:rsidR="00FD13C7" w:rsidRDefault="00FD13C7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330D713D" w14:textId="2337C2C5" w:rsidR="0073145D" w:rsidRPr="00B817A3" w:rsidRDefault="0073145D" w:rsidP="00704A96">
      <w:pPr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jako stawki minimalnej opłaty za czynności adwokackie, na podstawie przepisu </w:t>
      </w:r>
      <w:r w:rsidRPr="00225D60">
        <w:rPr>
          <w:rFonts w:ascii="Arial" w:eastAsia="Times New Roman" w:hAnsi="Arial"/>
          <w:b/>
          <w:sz w:val="22"/>
          <w:szCs w:val="22"/>
        </w:rPr>
        <w:t>§</w:t>
      </w:r>
      <w:r>
        <w:rPr>
          <w:rFonts w:ascii="Arial" w:eastAsia="Times New Roman" w:hAnsi="Arial"/>
          <w:b/>
          <w:sz w:val="22"/>
          <w:szCs w:val="22"/>
        </w:rPr>
        <w:t xml:space="preserve">1 pkt. 1 </w:t>
      </w:r>
      <w:r>
        <w:rPr>
          <w:rFonts w:ascii="Arial" w:eastAsia="Times New Roman" w:hAnsi="Arial"/>
          <w:b/>
          <w:sz w:val="22"/>
          <w:szCs w:val="22"/>
        </w:rPr>
        <w:br/>
        <w:t xml:space="preserve">w zw. z </w:t>
      </w:r>
      <w:r w:rsidRPr="00225D60">
        <w:rPr>
          <w:rFonts w:ascii="Arial" w:eastAsia="Times New Roman" w:hAnsi="Arial"/>
          <w:b/>
          <w:sz w:val="22"/>
          <w:szCs w:val="22"/>
        </w:rPr>
        <w:t>§</w:t>
      </w:r>
      <w:r>
        <w:rPr>
          <w:rFonts w:ascii="Arial" w:eastAsia="Times New Roman" w:hAnsi="Arial"/>
          <w:b/>
          <w:sz w:val="22"/>
          <w:szCs w:val="22"/>
        </w:rPr>
        <w:t xml:space="preserve">11 ust. … pkt …. </w:t>
      </w:r>
      <w:r>
        <w:rPr>
          <w:rFonts w:ascii="Arial" w:eastAsia="Times New Roman" w:hAnsi="Arial"/>
          <w:bCs/>
          <w:sz w:val="22"/>
          <w:szCs w:val="22"/>
        </w:rPr>
        <w:t xml:space="preserve">rozporządzenia Ministra Sprawiedliwości z dnia 22 października 2015 roku w sprawie opłat za czynności adwokackie (Dz. U. 2015 poz. 1800) 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– </w:t>
      </w:r>
      <w:r w:rsidR="00FD13C7" w:rsidRPr="00FD13C7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wyboru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 - </w:t>
      </w:r>
      <w:r w:rsidR="00B817A3" w:rsidRPr="00B817A3">
        <w:rPr>
          <w:rFonts w:ascii="Arial" w:eastAsia="Times New Roman" w:hAnsi="Arial"/>
          <w:bCs/>
          <w:sz w:val="22"/>
          <w:szCs w:val="22"/>
        </w:rPr>
        <w:t>powiększonej zgodnie</w:t>
      </w:r>
      <w:r w:rsidRPr="00B817A3">
        <w:rPr>
          <w:rFonts w:ascii="Arial" w:eastAsia="Times New Roman" w:hAnsi="Arial"/>
          <w:bCs/>
          <w:sz w:val="22"/>
          <w:szCs w:val="22"/>
        </w:rPr>
        <w:t xml:space="preserve"> 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z </w:t>
      </w:r>
      <w:r w:rsidR="00B817A3" w:rsidRPr="00B817A3">
        <w:rPr>
          <w:rFonts w:ascii="Arial" w:eastAsia="Times New Roman" w:hAnsi="Arial"/>
          <w:bCs/>
          <w:sz w:val="22"/>
          <w:szCs w:val="22"/>
        </w:rPr>
        <w:t>§4 ust. 3 rozporządzenia Ministra Sprawiedliwości z dnia 3 paździer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nika 2016 roku w sprawie ponoszenia przez Skarb Państwa kosztów nieopłaconej pomocy prawnej udzielonej przez adwokata z urzędu (Dz. U. 2016 poz. 1714) 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– </w:t>
      </w:r>
      <w:r w:rsidR="00FD13C7" w:rsidRPr="00FD13C7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urzędu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 - </w:t>
      </w:r>
      <w:r w:rsidR="00B817A3">
        <w:rPr>
          <w:rFonts w:ascii="Arial" w:eastAsia="Times New Roman" w:hAnsi="Arial"/>
          <w:bCs/>
          <w:sz w:val="22"/>
          <w:szCs w:val="22"/>
        </w:rPr>
        <w:t>o należny podatek od towarów i usług (VAT)</w:t>
      </w:r>
    </w:p>
    <w:p w14:paraId="5654C54D" w14:textId="77777777" w:rsidR="0073145D" w:rsidRDefault="0073145D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2505BF23" w14:textId="47B19654" w:rsidR="008C5FAA" w:rsidRPr="00B817A3" w:rsidRDefault="00704A96" w:rsidP="00704A96">
      <w:pPr>
        <w:spacing w:line="360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FD13C7">
        <w:rPr>
          <w:rFonts w:ascii="Arial" w:eastAsia="Times New Roman" w:hAnsi="Arial"/>
          <w:b/>
          <w:bCs/>
          <w:sz w:val="22"/>
          <w:szCs w:val="22"/>
        </w:rPr>
        <w:t>tj.</w:t>
      </w:r>
      <w:r w:rsidRPr="00225D60">
        <w:rPr>
          <w:rFonts w:ascii="Arial" w:eastAsia="Times New Roman" w:hAnsi="Arial"/>
          <w:sz w:val="22"/>
          <w:szCs w:val="22"/>
        </w:rPr>
        <w:t xml:space="preserve"> </w:t>
      </w:r>
      <w:r w:rsidRPr="00B817A3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>rozproszonej</w:t>
      </w:r>
      <w:r w:rsidR="008C5FAA" w:rsidRPr="00225D60">
        <w:rPr>
          <w:rFonts w:ascii="Arial" w:eastAsia="Times New Roman" w:hAnsi="Arial"/>
          <w:b/>
          <w:bCs/>
          <w:sz w:val="22"/>
          <w:szCs w:val="22"/>
        </w:rPr>
        <w:t xml:space="preserve"> kontroli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 xml:space="preserve">konstytucyjności przepisu </w:t>
      </w:r>
      <w:r w:rsidR="00B817A3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B817A3">
        <w:rPr>
          <w:rFonts w:ascii="Arial" w:eastAsia="Times New Roman" w:hAnsi="Arial"/>
          <w:b/>
          <w:bCs/>
          <w:sz w:val="22"/>
          <w:szCs w:val="22"/>
        </w:rPr>
        <w:t xml:space="preserve">2 pkt. 1 </w:t>
      </w:r>
      <w:r w:rsidR="00B817A3">
        <w:rPr>
          <w:rFonts w:ascii="Arial" w:eastAsia="Times New Roman" w:hAnsi="Arial"/>
          <w:b/>
          <w:bCs/>
          <w:sz w:val="22"/>
          <w:szCs w:val="22"/>
        </w:rPr>
        <w:br/>
        <w:t xml:space="preserve">w zw. z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>§4 ust</w:t>
      </w:r>
      <w:r w:rsidR="008C5FAA" w:rsidRPr="00225D60">
        <w:rPr>
          <w:rFonts w:ascii="Arial" w:eastAsia="Times New Roman" w:hAnsi="Arial"/>
          <w:b/>
          <w:sz w:val="22"/>
          <w:szCs w:val="22"/>
        </w:rPr>
        <w:t xml:space="preserve">. 1 </w:t>
      </w:r>
      <w:r w:rsidR="00B817A3">
        <w:rPr>
          <w:rFonts w:ascii="Arial" w:eastAsia="Times New Roman" w:hAnsi="Arial"/>
          <w:b/>
          <w:sz w:val="22"/>
          <w:szCs w:val="22"/>
        </w:rPr>
        <w:t>w zw. z</w:t>
      </w:r>
      <w:r w:rsidR="00B02A48">
        <w:rPr>
          <w:rFonts w:ascii="Arial" w:eastAsia="Times New Roman" w:hAnsi="Arial"/>
          <w:b/>
          <w:sz w:val="22"/>
          <w:szCs w:val="22"/>
        </w:rPr>
        <w:t xml:space="preserve"> </w:t>
      </w:r>
      <w:r w:rsidR="00B817A3" w:rsidRPr="00225D60">
        <w:rPr>
          <w:rFonts w:ascii="Arial" w:eastAsia="Times New Roman" w:hAnsi="Arial"/>
          <w:b/>
          <w:sz w:val="22"/>
          <w:szCs w:val="22"/>
        </w:rPr>
        <w:t>§</w:t>
      </w:r>
      <w:r w:rsidR="00B817A3">
        <w:rPr>
          <w:rFonts w:ascii="Arial" w:eastAsia="Times New Roman" w:hAnsi="Arial"/>
          <w:b/>
          <w:sz w:val="22"/>
          <w:szCs w:val="22"/>
        </w:rPr>
        <w:t>17 ust. ….. pkt. ……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 rozporządzenia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 Ministra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 </w:t>
      </w:r>
      <w:r w:rsidR="00B817A3" w:rsidRPr="00B817A3">
        <w:rPr>
          <w:rFonts w:ascii="Arial" w:eastAsia="Times New Roman" w:hAnsi="Arial"/>
          <w:bCs/>
          <w:sz w:val="22"/>
          <w:szCs w:val="22"/>
        </w:rPr>
        <w:t>Sprawiedliwości z dnia 3 paździer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nika 2016 roku w sprawie ponoszenia przez Skarb Państwa kosztów nieopłaconej pomocy prawnej udzielonej przez adwokata z urzędu (Dz. U. 2016 poz. 1714)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 xml:space="preserve">w zakresie w jakim </w:t>
      </w:r>
      <w:r w:rsidR="006C313B" w:rsidRPr="00B817A3">
        <w:rPr>
          <w:rFonts w:ascii="Arial" w:eastAsia="Times New Roman" w:hAnsi="Arial"/>
          <w:b/>
          <w:bCs/>
          <w:sz w:val="22"/>
          <w:szCs w:val="22"/>
        </w:rPr>
        <w:t>przepis ten różnicuje wynagrodzenie obrońcy wyznaczonego przez Sąd z urzędu oraz stawki minimalne obrońcy „z wyboru”</w:t>
      </w:r>
      <w:r w:rsidR="00B817A3">
        <w:rPr>
          <w:rFonts w:ascii="Arial" w:eastAsia="Times New Roman" w:hAnsi="Arial"/>
          <w:b/>
          <w:bCs/>
          <w:sz w:val="22"/>
          <w:szCs w:val="22"/>
        </w:rPr>
        <w:t xml:space="preserve"> tj. pozostaje </w:t>
      </w:r>
      <w:r w:rsidR="00B817A3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niezgodny z art. </w:t>
      </w:r>
      <w:r w:rsidR="00B817A3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lastRenderedPageBreak/>
        <w:t>64 ust. 2 w związku z art. 31 ust. 3, art. 32 ust. 1 zdanie drugie i art. 92 ust. 1 zdanie pierwsze Konstytucji Rzeczypospolitej Polskiej</w:t>
      </w:r>
    </w:p>
    <w:p w14:paraId="30E00183" w14:textId="77777777" w:rsidR="006C313B" w:rsidRPr="006C313B" w:rsidRDefault="006C313B" w:rsidP="00704A96">
      <w:pPr>
        <w:spacing w:line="360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34D77787" w14:textId="73F3CF86" w:rsidR="00704A96" w:rsidRPr="006C313B" w:rsidRDefault="00FD13C7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II. </w:t>
      </w:r>
      <w:r w:rsidRPr="00FD13C7">
        <w:rPr>
          <w:rFonts w:ascii="Arial" w:eastAsia="Times New Roman" w:hAnsi="Arial"/>
          <w:sz w:val="22"/>
          <w:szCs w:val="22"/>
        </w:rPr>
        <w:t>E</w:t>
      </w:r>
      <w:r w:rsidR="00704A96" w:rsidRPr="00FD13C7">
        <w:rPr>
          <w:rFonts w:ascii="Arial" w:eastAsia="Times New Roman" w:hAnsi="Arial"/>
          <w:sz w:val="22"/>
          <w:szCs w:val="22"/>
        </w:rPr>
        <w:t>wentualnie</w:t>
      </w:r>
      <w:r>
        <w:rPr>
          <w:rFonts w:ascii="Arial" w:eastAsia="Times New Roman" w:hAnsi="Arial"/>
          <w:b/>
          <w:bCs/>
          <w:sz w:val="22"/>
          <w:szCs w:val="22"/>
        </w:rPr>
        <w:t xml:space="preserve"> wnoszę o przyznanie od Skarbu Państwa </w:t>
      </w:r>
      <w:r w:rsidRPr="00FD13C7">
        <w:rPr>
          <w:rFonts w:ascii="Arial" w:eastAsia="Times New Roman" w:hAnsi="Arial"/>
          <w:sz w:val="22"/>
          <w:szCs w:val="22"/>
        </w:rPr>
        <w:t>na</w:t>
      </w:r>
      <w:r w:rsidRPr="00225D60">
        <w:rPr>
          <w:rFonts w:ascii="Arial" w:eastAsia="Times New Roman" w:hAnsi="Arial"/>
          <w:sz w:val="22"/>
          <w:szCs w:val="22"/>
        </w:rPr>
        <w:t xml:space="preserve"> moją rzecz </w:t>
      </w:r>
      <w:r w:rsidRPr="00225D60">
        <w:rPr>
          <w:rFonts w:ascii="Arial" w:eastAsia="Times New Roman" w:hAnsi="Arial"/>
          <w:b/>
          <w:bCs/>
          <w:sz w:val="22"/>
          <w:szCs w:val="22"/>
        </w:rPr>
        <w:t>kosztów nieopłaconej pomocy prawnej udzielonej z urzędu</w:t>
      </w:r>
      <w:r w:rsidRPr="00225D60">
        <w:rPr>
          <w:rFonts w:ascii="Arial" w:eastAsia="Times New Roman" w:hAnsi="Arial"/>
          <w:sz w:val="22"/>
          <w:szCs w:val="22"/>
        </w:rPr>
        <w:t xml:space="preserve">, w postępowaniu przed Sądem </w:t>
      </w:r>
      <w:r>
        <w:rPr>
          <w:rFonts w:ascii="Arial" w:eastAsia="Times New Roman" w:hAnsi="Arial"/>
          <w:sz w:val="22"/>
          <w:szCs w:val="22"/>
        </w:rPr>
        <w:t>Rejonowym w …………….. Wydział II Karny, sygn. akt. ……………… w stawce …………………… + VAT tj. ………………………….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w stawce </w:t>
      </w:r>
      <w:r w:rsidR="00F76950">
        <w:rPr>
          <w:rFonts w:ascii="Arial" w:eastAsia="Times New Roman" w:hAnsi="Arial"/>
          <w:b/>
          <w:bCs/>
          <w:sz w:val="22"/>
          <w:szCs w:val="22"/>
        </w:rPr>
        <w:t>…………….</w:t>
      </w:r>
      <w:r w:rsidR="00704A96" w:rsidRPr="006C313B">
        <w:rPr>
          <w:rFonts w:ascii="Arial" w:eastAsia="Times New Roman" w:hAnsi="Arial"/>
          <w:b/>
          <w:bCs/>
          <w:sz w:val="22"/>
          <w:szCs w:val="22"/>
        </w:rPr>
        <w:t xml:space="preserve"> + VAT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br/>
      </w:r>
      <w:r w:rsidR="00704A96" w:rsidRPr="006C313B">
        <w:rPr>
          <w:rFonts w:ascii="Arial" w:eastAsia="Times New Roman" w:hAnsi="Arial"/>
          <w:sz w:val="22"/>
          <w:szCs w:val="22"/>
        </w:rPr>
        <w:t xml:space="preserve">tj. z zastosowaniem §4 ust. 2 pkt. 1 </w:t>
      </w:r>
      <w:r>
        <w:rPr>
          <w:rFonts w:ascii="Arial" w:eastAsia="Times New Roman" w:hAnsi="Arial"/>
          <w:bCs/>
          <w:sz w:val="22"/>
          <w:szCs w:val="22"/>
        </w:rPr>
        <w:t xml:space="preserve">rozporządzenia Ministra </w:t>
      </w:r>
      <w:r w:rsidRPr="00B817A3">
        <w:rPr>
          <w:rFonts w:ascii="Arial" w:eastAsia="Times New Roman" w:hAnsi="Arial"/>
          <w:bCs/>
          <w:sz w:val="22"/>
          <w:szCs w:val="22"/>
        </w:rPr>
        <w:t xml:space="preserve">Sprawiedliwości z dnia </w:t>
      </w:r>
      <w:r>
        <w:rPr>
          <w:rFonts w:ascii="Arial" w:eastAsia="Times New Roman" w:hAnsi="Arial"/>
          <w:bCs/>
          <w:sz w:val="22"/>
          <w:szCs w:val="22"/>
        </w:rPr>
        <w:br/>
      </w:r>
      <w:r w:rsidRPr="00B817A3">
        <w:rPr>
          <w:rFonts w:ascii="Arial" w:eastAsia="Times New Roman" w:hAnsi="Arial"/>
          <w:bCs/>
          <w:sz w:val="22"/>
          <w:szCs w:val="22"/>
        </w:rPr>
        <w:t>3 paździer</w:t>
      </w:r>
      <w:r>
        <w:rPr>
          <w:rFonts w:ascii="Arial" w:eastAsia="Times New Roman" w:hAnsi="Arial"/>
          <w:bCs/>
          <w:sz w:val="22"/>
          <w:szCs w:val="22"/>
        </w:rPr>
        <w:t>nika 2016 roku w sprawie ponoszenia przez Skarb Państwa kosztów nieopłaconej pomocy prawnej udzielonej przez adwokata z urzędu (tj. stawki podniesionej o 150%).</w:t>
      </w:r>
    </w:p>
    <w:p w14:paraId="4911380E" w14:textId="77777777" w:rsidR="00704A96" w:rsidRPr="006C313B" w:rsidRDefault="00704A96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34A04BE6" w14:textId="1D3C335D" w:rsidR="00704A96" w:rsidRPr="00F76950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Jednocześnie na podstawie §3 rozporządzenia w sprawie stawek z urzędu </w:t>
      </w:r>
      <w:r w:rsidRPr="006C313B"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6C313B">
        <w:rPr>
          <w:rFonts w:ascii="Arial" w:eastAsia="Times New Roman" w:hAnsi="Arial"/>
          <w:sz w:val="22"/>
          <w:szCs w:val="22"/>
        </w:rPr>
        <w:t xml:space="preserve">, że wyżej wskazane koszty </w:t>
      </w:r>
      <w:r w:rsidRPr="00F76950">
        <w:rPr>
          <w:rFonts w:ascii="Arial" w:eastAsia="Times New Roman" w:hAnsi="Arial"/>
          <w:b/>
          <w:bCs/>
          <w:sz w:val="22"/>
          <w:szCs w:val="22"/>
        </w:rPr>
        <w:t>nie zostały uiszczone przez reprezentowanego ani w całości, ani w części.</w:t>
      </w:r>
    </w:p>
    <w:p w14:paraId="071EEDC6" w14:textId="6B6D2BDB" w:rsidR="00F76950" w:rsidRDefault="00F76950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56386B37" w14:textId="77777777" w:rsidR="00FD13C7" w:rsidRPr="006C313B" w:rsidRDefault="00FD13C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200EECDE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Uzasadnienie wniosku głównego</w:t>
      </w:r>
    </w:p>
    <w:p w14:paraId="77A1C4FB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6922C4F6" w14:textId="444F33C4" w:rsidR="00F76950" w:rsidRPr="00225D60" w:rsidRDefault="00704A96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Wnoszę o </w:t>
      </w:r>
      <w:r w:rsidRPr="00225D60">
        <w:rPr>
          <w:rFonts w:ascii="Arial" w:eastAsia="Times New Roman" w:hAnsi="Arial"/>
          <w:sz w:val="22"/>
          <w:szCs w:val="22"/>
        </w:rPr>
        <w:t xml:space="preserve">przyznanie kosztów nieopłaconej pomocy prawnej, 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>rozproszonej kontroli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przepisu </w:t>
      </w:r>
      <w:r w:rsidR="00FD13C7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FD13C7">
        <w:rPr>
          <w:rFonts w:ascii="Arial" w:eastAsia="Times New Roman" w:hAnsi="Arial"/>
          <w:b/>
          <w:bCs/>
          <w:sz w:val="22"/>
          <w:szCs w:val="22"/>
        </w:rPr>
        <w:t xml:space="preserve">2 pkt. 1 w zw. z </w:t>
      </w:r>
      <w:r w:rsidRPr="00225D60">
        <w:rPr>
          <w:rFonts w:ascii="Arial" w:eastAsia="Times New Roman" w:hAnsi="Arial"/>
          <w:b/>
          <w:bCs/>
          <w:sz w:val="22"/>
          <w:szCs w:val="22"/>
        </w:rPr>
        <w:t>§4 ust. 1</w:t>
      </w:r>
      <w:r w:rsidR="00FD13C7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 xml:space="preserve">w zw. z </w:t>
      </w:r>
      <w:r w:rsidR="00FD13C7" w:rsidRPr="00225D60">
        <w:rPr>
          <w:rFonts w:ascii="Arial" w:eastAsia="Times New Roman" w:hAnsi="Arial"/>
          <w:b/>
          <w:bCs/>
          <w:sz w:val="22"/>
          <w:szCs w:val="22"/>
        </w:rPr>
        <w:t>§</w:t>
      </w:r>
      <w:r w:rsidR="00FD13C7">
        <w:rPr>
          <w:rFonts w:ascii="Arial" w:eastAsia="Times New Roman" w:hAnsi="Arial"/>
          <w:b/>
          <w:bCs/>
          <w:sz w:val="22"/>
          <w:szCs w:val="22"/>
        </w:rPr>
        <w:t xml:space="preserve">17 ust. ….. pkt ….. </w:t>
      </w:r>
      <w:r w:rsidRPr="00225D60">
        <w:rPr>
          <w:rFonts w:ascii="Arial" w:eastAsia="Times New Roman" w:hAnsi="Arial"/>
          <w:b/>
          <w:bCs/>
          <w:sz w:val="22"/>
          <w:szCs w:val="22"/>
        </w:rPr>
        <w:t>rozporządzenia w sprawie stawek z urzędu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, w zakresie w jakim przepis ten różnicuje wynagrodzenie obrońcy wyznaczonego przez Sąd z urzędu od stawek minimalnych obrońcy określonych w rozporządzeniu Ministra Sprawiedliwości w sprawie opłat za czynności adwokackie z dnia 22 października 2015 roku (Dz. U. z 2015 r. poz. 1800) (dalej jako „rozporządzenie w sprawie stawek z wyboru”).  </w:t>
      </w:r>
    </w:p>
    <w:p w14:paraId="54D48DCE" w14:textId="77777777" w:rsidR="00F76950" w:rsidRPr="00225D60" w:rsidRDefault="00F76950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140EC434" w14:textId="4EC2EF76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225D60">
        <w:rPr>
          <w:rFonts w:ascii="Arial" w:eastAsia="Times New Roman" w:hAnsi="Arial"/>
          <w:bCs/>
          <w:sz w:val="22"/>
          <w:szCs w:val="22"/>
        </w:rPr>
        <w:t xml:space="preserve">Podstawą wysokości wynagrodzenia obrońcy z urzędu w niniejszej sprawie powinna być zatem </w:t>
      </w:r>
      <w:r w:rsidRPr="00225D60">
        <w:rPr>
          <w:rFonts w:ascii="Arial" w:eastAsia="Times New Roman" w:hAnsi="Arial"/>
          <w:b/>
          <w:sz w:val="22"/>
          <w:szCs w:val="22"/>
        </w:rPr>
        <w:t>stawka minimalna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określona w rozporządzeniu w sprawie stawek z wyboru </w:t>
      </w:r>
      <w:r w:rsidR="00C6748E">
        <w:rPr>
          <w:rFonts w:ascii="Arial" w:eastAsia="Times New Roman" w:hAnsi="Arial"/>
          <w:bCs/>
          <w:sz w:val="22"/>
          <w:szCs w:val="22"/>
        </w:rPr>
        <w:br/>
      </w:r>
      <w:r w:rsidRPr="00225D60">
        <w:rPr>
          <w:rFonts w:ascii="Arial" w:eastAsia="Times New Roman" w:hAnsi="Arial"/>
          <w:b/>
          <w:sz w:val="22"/>
          <w:szCs w:val="22"/>
        </w:rPr>
        <w:t>tj. odpowiednia norma §11 rozporządzenia Ministra Sprawiedliwości w sprawie opłat za czynności adwokackie z dnia 22 października 2015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roku.</w:t>
      </w:r>
    </w:p>
    <w:p w14:paraId="1589AB7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14454C9" w14:textId="0C8C0C04" w:rsidR="00704A96" w:rsidRPr="006C313B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eastAsia="Times New Roman" w:hAnsi="Arial"/>
          <w:bCs/>
          <w:sz w:val="22"/>
          <w:szCs w:val="22"/>
        </w:rPr>
        <w:t>W zakresie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konstytucyjności omawianego przepisu (tj. </w:t>
      </w:r>
      <w:r w:rsidR="00704A96" w:rsidRPr="006C313B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) </w:t>
      </w:r>
      <w:r>
        <w:rPr>
          <w:rFonts w:ascii="Arial" w:eastAsia="Times New Roman" w:hAnsi="Arial"/>
          <w:bCs/>
          <w:sz w:val="22"/>
          <w:szCs w:val="22"/>
        </w:rPr>
        <w:t>wypowi</w:t>
      </w:r>
      <w:r w:rsidR="004B21C8">
        <w:rPr>
          <w:rFonts w:ascii="Arial" w:eastAsia="Times New Roman" w:hAnsi="Arial"/>
          <w:bCs/>
          <w:sz w:val="22"/>
          <w:szCs w:val="22"/>
        </w:rPr>
        <w:t>edział</w:t>
      </w:r>
      <w:r>
        <w:rPr>
          <w:rFonts w:ascii="Arial" w:eastAsia="Times New Roman" w:hAnsi="Arial"/>
          <w:bCs/>
          <w:sz w:val="22"/>
          <w:szCs w:val="22"/>
        </w:rPr>
        <w:t xml:space="preserve"> się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Trybunał Konstytucyjny w </w:t>
      </w:r>
      <w:r>
        <w:rPr>
          <w:rFonts w:ascii="Arial" w:eastAsia="Times New Roman" w:hAnsi="Arial"/>
          <w:bCs/>
          <w:sz w:val="22"/>
          <w:szCs w:val="22"/>
        </w:rPr>
        <w:t>rozstrzygnięciu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z dnia </w:t>
      </w:r>
      <w:r>
        <w:rPr>
          <w:rFonts w:ascii="Arial" w:eastAsia="Times New Roman" w:hAnsi="Arial"/>
          <w:bCs/>
          <w:sz w:val="22"/>
          <w:szCs w:val="22"/>
        </w:rPr>
        <w:br/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23 kwietnia 2020 roku (sygn. akt. SK 66/19) stwierdzając, że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="00704A96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92 ust. 1 zdanie pierwsze Konstytucji Rzeczypospolitej Polskiej.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Jakkolwiek orzeczenie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odnosi się wprost do brzmienia rozporządzenia Ministra Sprawiedliwości z dnia 22 października 2015 roku, tak też </w:t>
      </w:r>
      <w:r w:rsidR="00C6748E">
        <w:rPr>
          <w:rFonts w:ascii="Arial" w:hAnsi="Arial"/>
          <w:sz w:val="22"/>
          <w:szCs w:val="22"/>
          <w:shd w:val="clear" w:color="auto" w:fill="FFFFFF"/>
        </w:rPr>
        <w:t xml:space="preserve">jego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w uzasadnieniu </w:t>
      </w:r>
      <w:r w:rsidR="005D0AA0">
        <w:rPr>
          <w:rFonts w:ascii="Arial" w:hAnsi="Arial"/>
          <w:sz w:val="22"/>
          <w:szCs w:val="22"/>
          <w:shd w:val="clear" w:color="auto" w:fill="FFFFFF"/>
        </w:rPr>
        <w:t>przesądzono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, że jakiekolwiek różnicowanie stawek obrońcy z urzędu oraz obrońcy z wyboru pozostaje sprzeczne z wyżej powołanymi przepisami Konstytucji Rzeczypospolitej Polskiej. </w:t>
      </w:r>
    </w:p>
    <w:p w14:paraId="0575597F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1F712A4" w14:textId="2BAE84F2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Jak wynika z uzasadnienia </w:t>
      </w:r>
      <w:r w:rsidR="00F76950">
        <w:rPr>
          <w:rFonts w:ascii="Arial" w:hAnsi="Arial"/>
          <w:sz w:val="22"/>
          <w:szCs w:val="22"/>
          <w:shd w:val="clear" w:color="auto" w:fill="FFFFFF"/>
        </w:rPr>
        <w:t>rozstrzygnięcia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Trybunału Konstytucyjnego (SK 66/19):</w:t>
      </w:r>
    </w:p>
    <w:p w14:paraId="7E92C536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FA4AC31" w14:textId="612EF787" w:rsidR="00704A96" w:rsidRDefault="00704A96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„Analiza statusu adwokatów i ich roli w postępowaniu, w którym występują jako pod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61DAD80C" w14:textId="239F34AE" w:rsidR="00F76950" w:rsidRDefault="00F76950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2DB4B567" w14:textId="08A0011F" w:rsidR="00F76950" w:rsidRDefault="00F76950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7D57A76C" w14:textId="5564714F" w:rsidR="00F76950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Jakkolwiek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rozstrzygnięcie Trybunału Konstytucyjnego odnosi się bezpośrednio do poprzedniego brzmienia rozporządzenia wykonawczego Ministra Sprawiedliwości, jak </w:t>
      </w:r>
      <w:r>
        <w:rPr>
          <w:rFonts w:ascii="Arial" w:hAnsi="Arial"/>
          <w:sz w:val="22"/>
          <w:szCs w:val="22"/>
          <w:shd w:val="clear" w:color="auto" w:fill="FFFFFF"/>
        </w:rPr>
        <w:t xml:space="preserve">na gruncie obecnego orzecznictwa sądowego zarówno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sądów polskich, jak też sądów międzynarodowych budzi istotne wątpliwości czy Trybunał Konstytucyjny w obecnym składzie </w:t>
      </w:r>
      <w:r w:rsidR="004B21C8">
        <w:rPr>
          <w:rFonts w:ascii="Arial" w:hAnsi="Arial"/>
          <w:sz w:val="22"/>
          <w:szCs w:val="22"/>
          <w:shd w:val="clear" w:color="auto" w:fill="FFFFFF"/>
        </w:rPr>
        <w:t xml:space="preserve">w ogóle </w:t>
      </w:r>
      <w:r w:rsidR="00472C7C">
        <w:rPr>
          <w:rFonts w:ascii="Arial" w:hAnsi="Arial"/>
          <w:sz w:val="22"/>
          <w:szCs w:val="22"/>
          <w:shd w:val="clear" w:color="auto" w:fill="FFFFFF"/>
        </w:rPr>
        <w:t>może wykonywać dotychczasową rolę sądu konstytucyjnego</w:t>
      </w:r>
      <w:r w:rsidR="00472C7C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="00472C7C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konstytucją.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472C7C" w:rsidRPr="005C2008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stosowania tak</w:t>
      </w:r>
      <w:r w:rsidR="005C2008">
        <w:rPr>
          <w:rFonts w:ascii="Arial" w:hAnsi="Arial"/>
          <w:sz w:val="22"/>
          <w:szCs w:val="22"/>
          <w:shd w:val="clear" w:color="auto" w:fill="FFFFFF"/>
        </w:rPr>
        <w:t>iego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środk</w:t>
      </w:r>
      <w:r w:rsidR="005C2008">
        <w:rPr>
          <w:rFonts w:ascii="Arial" w:hAnsi="Arial"/>
          <w:sz w:val="22"/>
          <w:szCs w:val="22"/>
          <w:shd w:val="clear" w:color="auto" w:fill="FFFFFF"/>
        </w:rPr>
        <w:t>a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wynika zarówno ze stanowiska doktryny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5C2008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BC5E6A">
        <w:rPr>
          <w:rFonts w:ascii="Arial" w:hAnsi="Arial"/>
          <w:sz w:val="22"/>
          <w:szCs w:val="22"/>
          <w:shd w:val="clear" w:color="auto" w:fill="FFFFFF"/>
        </w:rPr>
        <w:br/>
      </w:r>
      <w:r w:rsidR="005C2008">
        <w:rPr>
          <w:rFonts w:ascii="Arial" w:hAnsi="Arial"/>
          <w:sz w:val="22"/>
          <w:szCs w:val="22"/>
          <w:shd w:val="clear" w:color="auto" w:fill="FFFFFF"/>
        </w:rPr>
        <w:t>i orzecznictwa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C2008">
        <w:rPr>
          <w:rFonts w:ascii="Arial" w:hAnsi="Arial"/>
          <w:sz w:val="22"/>
          <w:szCs w:val="22"/>
          <w:shd w:val="clear" w:color="auto" w:fill="FFFFFF"/>
        </w:rPr>
        <w:t xml:space="preserve">Aktualnie zasada bezpośredniego wykorzystywania konstytucji w procesie stosowania prawa przez sąd nie budzi kontrowersji, a wręcz spotyka się z aprobatą. </w:t>
      </w:r>
      <w:r w:rsidR="005C2008">
        <w:rPr>
          <w:rFonts w:ascii="Arial" w:hAnsi="Arial"/>
          <w:sz w:val="22"/>
          <w:szCs w:val="22"/>
          <w:shd w:val="clear" w:color="auto" w:fill="FFFFFF"/>
        </w:rPr>
        <w:lastRenderedPageBreak/>
        <w:t>Stosowanie konstytucji przez sądy służy nie tylko realizacji uprawnień obywatelskich składających na konstytucyjne prawo do sądu, ale jest przede wszystkim instrumentem umożliwiającym realizację roszczenia do słuszności prawa oraz sprawiedliwości rozstrzygnięcia.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tym samym 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>uprawnione i zobowiązane do rozważ</w:t>
      </w:r>
      <w:r w:rsidR="00C6748E">
        <w:rPr>
          <w:rFonts w:ascii="Arial" w:hAnsi="Arial"/>
          <w:b/>
          <w:bCs/>
          <w:sz w:val="22"/>
          <w:szCs w:val="22"/>
          <w:shd w:val="clear" w:color="auto" w:fill="FFFFFF"/>
        </w:rPr>
        <w:t>enia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problemów konstytucyjnych w procesie orzekania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>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217954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25DED67B" w14:textId="70D704B9" w:rsidR="00217954" w:rsidRDefault="00217954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DD1776" w14:textId="0520B56B" w:rsidR="00217954" w:rsidRDefault="00217954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225D60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225D60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obrońcy z urzędu w stosunku do obrońcy z wyboru. </w:t>
      </w:r>
      <w:r w:rsidRPr="00225D60">
        <w:rPr>
          <w:rFonts w:ascii="Arial" w:hAnsi="Arial"/>
          <w:sz w:val="22"/>
          <w:szCs w:val="22"/>
          <w:shd w:val="clear" w:color="auto" w:fill="FFFFFF"/>
        </w:rPr>
        <w:t xml:space="preserve">Wynagrodzenie obrońcy za obronę oskarżonego/podejrzanego z urzędu </w:t>
      </w:r>
      <w:r w:rsidRPr="00225D60">
        <w:rPr>
          <w:rFonts w:ascii="Arial" w:hAnsi="Arial"/>
          <w:bCs/>
          <w:iCs/>
          <w:sz w:val="22"/>
          <w:szCs w:val="22"/>
        </w:rPr>
        <w:t>(na podstawie §17 ust. 1 pkt. 1 w zw. z § 17 ust. 2 pkt. 3 rozporządzenia w sprawie stawek z urzędu) wynosi łącznie 600 złotych za reprezentację obejmującą dochodzenie oraz postępowanie przed Sądem Rejonowym (420 zł + 180 zł), podczas gdy wynagrodzenie minimalne takiego samego obrońcy,</w:t>
      </w:r>
      <w:r>
        <w:rPr>
          <w:rFonts w:ascii="Arial" w:hAnsi="Arial"/>
          <w:bCs/>
          <w:iCs/>
          <w:sz w:val="22"/>
          <w:szCs w:val="22"/>
        </w:rPr>
        <w:t xml:space="preserve"> pełniącego rolę w postępowaniu przygotowawczym i sądowym „z wyboru” to kwota 1200 złotych (840 + 360 zł). Przy czym zaznaczyć należy, że stawki określone </w:t>
      </w:r>
      <w:r w:rsidR="00780F67">
        <w:rPr>
          <w:rFonts w:ascii="Arial" w:hAnsi="Arial"/>
          <w:bCs/>
          <w:iCs/>
          <w:sz w:val="22"/>
          <w:szCs w:val="22"/>
        </w:rPr>
        <w:br/>
      </w:r>
      <w:r>
        <w:rPr>
          <w:rFonts w:ascii="Arial" w:hAnsi="Arial"/>
          <w:bCs/>
          <w:iCs/>
          <w:sz w:val="22"/>
          <w:szCs w:val="22"/>
        </w:rPr>
        <w:t xml:space="preserve">w rozporządzeniu w sprawie stawek w wyboru stanowią </w:t>
      </w:r>
      <w:r w:rsidRPr="00217954">
        <w:rPr>
          <w:rFonts w:ascii="Arial" w:hAnsi="Arial"/>
          <w:b/>
          <w:iCs/>
          <w:sz w:val="22"/>
          <w:szCs w:val="22"/>
        </w:rPr>
        <w:t>kwoty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minimalne</w:t>
      </w:r>
      <w:r>
        <w:rPr>
          <w:rFonts w:ascii="Arial" w:hAnsi="Arial"/>
          <w:bCs/>
          <w:iCs/>
          <w:sz w:val="22"/>
          <w:szCs w:val="22"/>
        </w:rPr>
        <w:t>.</w:t>
      </w:r>
      <w:r w:rsidR="00C6748E">
        <w:rPr>
          <w:rFonts w:ascii="Arial" w:hAnsi="Arial"/>
          <w:bCs/>
          <w:iCs/>
          <w:sz w:val="22"/>
          <w:szCs w:val="22"/>
        </w:rPr>
        <w:t xml:space="preserve"> </w:t>
      </w:r>
      <w:r w:rsidR="00C6748E">
        <w:rPr>
          <w:rFonts w:ascii="Arial" w:hAnsi="Arial"/>
          <w:b/>
          <w:iCs/>
          <w:sz w:val="22"/>
          <w:szCs w:val="22"/>
        </w:rPr>
        <w:t xml:space="preserve">Oznacza to, że </w:t>
      </w:r>
      <w:r w:rsidR="00C6748E">
        <w:rPr>
          <w:rFonts w:ascii="Arial" w:hAnsi="Arial"/>
          <w:b/>
          <w:iCs/>
          <w:sz w:val="22"/>
          <w:szCs w:val="22"/>
        </w:rPr>
        <w:br/>
        <w:t xml:space="preserve">z nieznanych ustawie oraz Konstytucji RP powodów – „klient” w rozumieniu Skarbu Państwa jest premiowany względem każdej innej osoby. </w:t>
      </w:r>
      <w:r>
        <w:rPr>
          <w:rFonts w:ascii="Arial" w:hAnsi="Arial"/>
          <w:bCs/>
          <w:iCs/>
          <w:sz w:val="22"/>
          <w:szCs w:val="22"/>
        </w:rPr>
        <w:t xml:space="preserve">Podobne dysproporcje występują w każdym innym rodzaju </w:t>
      </w:r>
      <w:r w:rsidR="005D0AA0">
        <w:rPr>
          <w:rFonts w:ascii="Arial" w:hAnsi="Arial"/>
          <w:bCs/>
          <w:iCs/>
          <w:sz w:val="22"/>
          <w:szCs w:val="22"/>
        </w:rPr>
        <w:t>postępowań w zakresie spraw karnych.</w:t>
      </w:r>
    </w:p>
    <w:p w14:paraId="30A252AD" w14:textId="5E4A83F3" w:rsidR="005D0AA0" w:rsidRDefault="005D0AA0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BB4D798" w14:textId="1FACEC98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>
        <w:rPr>
          <w:rFonts w:ascii="Arial" w:hAnsi="Arial"/>
          <w:b/>
          <w:iCs/>
          <w:sz w:val="22"/>
          <w:szCs w:val="22"/>
        </w:rPr>
        <w:t>nie istnieją racje prawne przemawiające za różnicowanie</w:t>
      </w:r>
      <w:r w:rsidR="00E04665">
        <w:rPr>
          <w:rFonts w:ascii="Arial" w:hAnsi="Arial"/>
          <w:b/>
          <w:iCs/>
          <w:sz w:val="22"/>
          <w:szCs w:val="22"/>
        </w:rPr>
        <w:t>m</w:t>
      </w:r>
      <w:r>
        <w:rPr>
          <w:rFonts w:ascii="Arial" w:hAnsi="Arial"/>
          <w:b/>
          <w:iCs/>
          <w:sz w:val="22"/>
          <w:szCs w:val="22"/>
        </w:rPr>
        <w:t xml:space="preserve"> stawek wynagrodzenia pomiędzy pełnomocnikami z tego tylko powodu, że źródła ich umocowań dla reprezentacji stron postępowań sądowych, w odniesieniu do mandatariuszy z wyboru i z urzędu są różne. Takie zróżnicowanie byłoby sprzeczne </w:t>
      </w:r>
      <w:r>
        <w:rPr>
          <w:rFonts w:ascii="Arial" w:hAnsi="Arial"/>
          <w:b/>
          <w:iCs/>
          <w:sz w:val="22"/>
          <w:szCs w:val="22"/>
        </w:rPr>
        <w:br/>
        <w:t>z przepisami Ustawy Zasadniczej</w:t>
      </w:r>
      <w:r>
        <w:rPr>
          <w:rFonts w:ascii="Arial" w:hAnsi="Arial"/>
          <w:bCs/>
          <w:iCs/>
          <w:sz w:val="22"/>
          <w:szCs w:val="22"/>
        </w:rPr>
        <w:t xml:space="preserve"> (tak: wyrok SA w Krakowie z dnia 26 lutego 2021 roku, </w:t>
      </w:r>
      <w:r>
        <w:rPr>
          <w:rFonts w:ascii="Arial" w:hAnsi="Arial"/>
          <w:bCs/>
          <w:iCs/>
          <w:sz w:val="22"/>
          <w:szCs w:val="22"/>
        </w:rPr>
        <w:br/>
        <w:t xml:space="preserve">I </w:t>
      </w:r>
      <w:proofErr w:type="spellStart"/>
      <w:r>
        <w:rPr>
          <w:rFonts w:ascii="Arial" w:hAnsi="Arial"/>
          <w:bCs/>
          <w:iCs/>
          <w:sz w:val="22"/>
          <w:szCs w:val="22"/>
        </w:rPr>
        <w:t>ACa</w:t>
      </w:r>
      <w:proofErr w:type="spellEnd"/>
      <w:r>
        <w:rPr>
          <w:rFonts w:ascii="Arial" w:hAnsi="Arial"/>
          <w:bCs/>
          <w:iCs/>
          <w:sz w:val="22"/>
          <w:szCs w:val="22"/>
        </w:rPr>
        <w:t xml:space="preserve"> 39/21). </w:t>
      </w:r>
    </w:p>
    <w:p w14:paraId="4387CB1D" w14:textId="4B87E3BD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6CF08067" w14:textId="75BF9F89" w:rsidR="005D0AA0" w:rsidRPr="00494774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94774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="005D0AA0" w:rsidRPr="00494774">
        <w:rPr>
          <w:rFonts w:ascii="Arial" w:hAnsi="Arial"/>
          <w:sz w:val="22"/>
          <w:szCs w:val="22"/>
          <w:shd w:val="clear" w:color="auto" w:fill="FFFFFF"/>
        </w:rPr>
        <w:br/>
      </w:r>
      <w:r w:rsidRPr="00494774">
        <w:rPr>
          <w:rFonts w:ascii="Arial" w:hAnsi="Arial"/>
          <w:sz w:val="22"/>
          <w:szCs w:val="22"/>
          <w:shd w:val="clear" w:color="auto" w:fill="FFFFFF"/>
        </w:rPr>
        <w:t xml:space="preserve">oraz stawek „z wyboru” pozwala stwierdzić, iż pomimo zmiany literalnej treści </w:t>
      </w:r>
      <w:r w:rsidRPr="00494774">
        <w:rPr>
          <w:rFonts w:ascii="Arial" w:eastAsia="Times New Roman" w:hAnsi="Arial"/>
          <w:sz w:val="22"/>
          <w:szCs w:val="22"/>
        </w:rPr>
        <w:t xml:space="preserve">§4 ust. 1 </w:t>
      </w:r>
      <w:r w:rsidRPr="00494774">
        <w:rPr>
          <w:rFonts w:ascii="Arial" w:hAnsi="Arial"/>
          <w:sz w:val="22"/>
          <w:szCs w:val="22"/>
          <w:shd w:val="clear" w:color="auto" w:fill="FFFFFF"/>
        </w:rPr>
        <w:t>rozporządzenia treść normatywna wskazanego przepisu pozostaje niezmieniona.</w:t>
      </w:r>
      <w:r w:rsidR="005D0AA0" w:rsidRPr="00494774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D0AA0" w:rsidRPr="00494774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="005D0AA0" w:rsidRPr="00494774">
        <w:rPr>
          <w:rFonts w:ascii="Arial" w:hAnsi="Arial"/>
          <w:sz w:val="22"/>
          <w:szCs w:val="22"/>
        </w:rPr>
        <w:t xml:space="preserve">V CSK 377/15) </w:t>
      </w:r>
    </w:p>
    <w:p w14:paraId="2B1B8B99" w14:textId="2B018E5F" w:rsidR="005D0AA0" w:rsidRPr="00494774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94774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 w:rsidRPr="00494774">
        <w:rPr>
          <w:rFonts w:ascii="Arial" w:hAnsi="Arial"/>
          <w:b/>
          <w:bCs/>
          <w:sz w:val="22"/>
          <w:szCs w:val="22"/>
          <w:shd w:val="clear" w:color="auto" w:fill="FFFFFF"/>
        </w:rPr>
        <w:br/>
        <w:t>a nie jednostek redakcyjnych, pełniących wyłącznie rolę porządkującą wewnątrz aktu prawnego, w którym się znajduje</w:t>
      </w:r>
      <w:r w:rsidRPr="00494774">
        <w:rPr>
          <w:rFonts w:ascii="Arial" w:hAnsi="Arial"/>
          <w:sz w:val="22"/>
          <w:szCs w:val="22"/>
          <w:shd w:val="clear" w:color="auto" w:fill="FFFFFF"/>
        </w:rPr>
        <w:t xml:space="preserve">. </w:t>
      </w:r>
      <w:r w:rsidRPr="00494774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t xml:space="preserve">Powinnością ustawodawcy jest przepis ten z ustawy usunąć wraz z ogłoszeniem wyroku Trybunału, gdyż w przeciwnym wypadku doszłoby się do karkołomnego wniosku o możliwości dowolnego zmieniania numeracji </w:t>
      </w:r>
      <w:r w:rsidRPr="00494774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lastRenderedPageBreak/>
        <w:t>przepisów w ustawach, np. w razie tworzenia tekstu jednolitego i omijania w ten sposób (nie wykonywania) wyroków Trybunału Konstytucyjnego</w:t>
      </w:r>
      <w:r w:rsidRPr="00494774">
        <w:rPr>
          <w:rFonts w:ascii="Arial" w:hAnsi="Arial"/>
          <w:sz w:val="22"/>
          <w:szCs w:val="22"/>
          <w:shd w:val="clear" w:color="auto" w:fill="FFFFFF"/>
        </w:rPr>
        <w:t>. Za zbędną powinno się uznać potrzebę powtórnego rozpatrywania przez Trybunał zgodności (…) z Konstytucją, skoro przepis ten, co do kwestii, z powodu której orzeczona została jego niekonstytucyjność, się nie zmienił.</w:t>
      </w:r>
    </w:p>
    <w:p w14:paraId="27D76693" w14:textId="77777777" w:rsidR="005D0AA0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2C15213F" w14:textId="52DC8A9C" w:rsidR="00704A96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5D0AA0">
        <w:rPr>
          <w:rFonts w:ascii="Arial" w:hAnsi="Arial"/>
          <w:sz w:val="22"/>
          <w:szCs w:val="22"/>
          <w:shd w:val="clear" w:color="auto" w:fill="FFFFFF"/>
        </w:rPr>
        <w:t>Według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rozporządzenia Ministra Sprawiedliwości „w sprawie stawek z urzędu” z dnia</w:t>
      </w:r>
      <w:r w:rsidR="005D0AA0">
        <w:rPr>
          <w:rFonts w:ascii="Arial" w:hAnsi="Arial"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>3 października 2016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obrońców z urzędu pozostają </w:t>
      </w:r>
      <w:r w:rsidR="00BC5E6A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>w proporcji ½ w stosunku do stawek określonych w rozporządzeniu określającym stawki wynagrodzenia na rzecz obrońców z wyboru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6C313B">
        <w:rPr>
          <w:rFonts w:ascii="Arial" w:eastAsia="Times New Roman" w:hAnsi="Arial"/>
          <w:sz w:val="22"/>
          <w:szCs w:val="22"/>
        </w:rPr>
        <w:t xml:space="preserve">§4 ust. 1 rozporządzenia Ministra Sprawiedliwości z dnia 3 października 2016 roku, w zakresie w jakim różnicuje stawki „z urzędu” oraz stawki „z wyboru” pozostaje sprzeczny </w:t>
      </w:r>
      <w:r w:rsidR="00C6748E">
        <w:rPr>
          <w:rFonts w:ascii="Arial" w:eastAsia="Times New Roman" w:hAnsi="Arial"/>
          <w:sz w:val="22"/>
          <w:szCs w:val="22"/>
        </w:rPr>
        <w:br/>
      </w:r>
      <w:r w:rsidRPr="006C313B">
        <w:rPr>
          <w:rFonts w:ascii="Arial" w:eastAsia="Times New Roman" w:hAnsi="Arial"/>
          <w:sz w:val="22"/>
          <w:szCs w:val="22"/>
        </w:rPr>
        <w:t>z normami wyrażonymi w Konstytucji Rzeczypospolitej Polskiej</w:t>
      </w:r>
      <w:r w:rsidR="00780F67">
        <w:rPr>
          <w:rFonts w:ascii="Arial" w:eastAsia="Times New Roman" w:hAnsi="Arial"/>
          <w:sz w:val="22"/>
          <w:szCs w:val="22"/>
        </w:rPr>
        <w:t>, w ten sam sposób co do którego wypowiadał się uprzednio „Trybunał Konstytucyjny”.</w:t>
      </w:r>
    </w:p>
    <w:p w14:paraId="52E3FFDA" w14:textId="0FDB2770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8A6BF7A" w14:textId="5182F9A5" w:rsidR="00780F67" w:rsidRDefault="00780F67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80F67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780F67">
        <w:rPr>
          <w:rFonts w:ascii="Arial" w:hAnsi="Arial"/>
          <w:sz w:val="22"/>
          <w:szCs w:val="22"/>
        </w:rPr>
        <w:t>akt rangi ustawowej tj.</w:t>
      </w:r>
      <w:r>
        <w:rPr>
          <w:rFonts w:ascii="Arial" w:hAnsi="Arial"/>
          <w:sz w:val="22"/>
          <w:szCs w:val="22"/>
        </w:rPr>
        <w:t xml:space="preserve"> art. 29 ustawy z dnia 26 maja 1982 roku - </w:t>
      </w:r>
      <w:r w:rsidRPr="00780F67">
        <w:rPr>
          <w:rFonts w:ascii="Arial" w:hAnsi="Arial"/>
          <w:sz w:val="22"/>
          <w:szCs w:val="22"/>
        </w:rPr>
        <w:t>Praw</w:t>
      </w:r>
      <w:r>
        <w:rPr>
          <w:rFonts w:ascii="Arial" w:hAnsi="Arial"/>
          <w:sz w:val="22"/>
          <w:szCs w:val="22"/>
        </w:rPr>
        <w:t>o</w:t>
      </w:r>
      <w:r w:rsidRPr="00780F67">
        <w:rPr>
          <w:rFonts w:ascii="Arial" w:hAnsi="Arial"/>
          <w:sz w:val="22"/>
          <w:szCs w:val="22"/>
        </w:rPr>
        <w:t xml:space="preserve"> o adwokaturze, nie zawiera upoważnienia dla aktu wykonawczego pozwalającego na odmienne ukształtowanie wynagrodzeń obrońców w zależności od tego, czy działają oni </w:t>
      </w:r>
      <w:r>
        <w:rPr>
          <w:rFonts w:ascii="Arial" w:hAnsi="Arial"/>
          <w:sz w:val="22"/>
          <w:szCs w:val="22"/>
        </w:rPr>
        <w:br/>
      </w:r>
      <w:r w:rsidRPr="00780F67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28B0118C" w14:textId="059E0333" w:rsidR="00225D60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9ED7F1E" w14:textId="36EE413C" w:rsidR="00225D60" w:rsidRPr="00780F67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załączeniu do niniejszego wniosku obrońca przedkłada </w:t>
      </w:r>
      <w:r w:rsidRPr="00E04665">
        <w:rPr>
          <w:rFonts w:ascii="Arial" w:hAnsi="Arial"/>
          <w:b/>
          <w:bCs/>
          <w:sz w:val="22"/>
          <w:szCs w:val="22"/>
        </w:rPr>
        <w:t>wykaz orzecznictwa</w:t>
      </w:r>
      <w:r>
        <w:rPr>
          <w:rFonts w:ascii="Arial" w:hAnsi="Arial"/>
          <w:sz w:val="22"/>
          <w:szCs w:val="22"/>
        </w:rPr>
        <w:t xml:space="preserve"> Sadu Najwyższego oraz </w:t>
      </w:r>
      <w:r w:rsidR="00E0466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ądów </w:t>
      </w:r>
      <w:r w:rsidR="00E04665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owszechnych</w:t>
      </w:r>
      <w:r w:rsidR="00E04665">
        <w:rPr>
          <w:rFonts w:ascii="Arial" w:hAnsi="Arial"/>
          <w:sz w:val="22"/>
          <w:szCs w:val="22"/>
        </w:rPr>
        <w:t xml:space="preserve"> odnoszący się do powinności przyznawania stawek obrońcy z urzędu według rozporządzenia „z wyboru” oraz uwzględniający postulat sprzeczności obecnie obowiązującego rozporządzenia w sprawie stawek z urzędu z normą konstytucyjną.</w:t>
      </w:r>
    </w:p>
    <w:p w14:paraId="6584B3F9" w14:textId="500C7772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D60D153" w14:textId="5B99385D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 xml:space="preserve">Mając na uwadze powyższe stawka kosztów nieopłaconej pomocy prawnej udzielonej podejrzanemu/oskarżonemu z urzędu w niniejszym postepowaniu powinna wynieść </w:t>
      </w:r>
      <w:r w:rsidRPr="006C313B">
        <w:rPr>
          <w:rFonts w:ascii="Arial" w:hAnsi="Arial"/>
          <w:bCs/>
          <w:iCs/>
          <w:sz w:val="22"/>
          <w:szCs w:val="22"/>
        </w:rPr>
        <w:br/>
      </w:r>
      <w:r w:rsidR="00E04665">
        <w:rPr>
          <w:rFonts w:ascii="Arial" w:hAnsi="Arial"/>
          <w:b/>
          <w:bCs/>
          <w:iCs/>
          <w:sz w:val="22"/>
          <w:szCs w:val="22"/>
        </w:rPr>
        <w:t>………………..</w:t>
      </w:r>
      <w:r w:rsidRPr="006C313B">
        <w:rPr>
          <w:rFonts w:ascii="Arial" w:hAnsi="Arial"/>
          <w:b/>
          <w:bCs/>
          <w:iCs/>
          <w:sz w:val="22"/>
          <w:szCs w:val="22"/>
        </w:rPr>
        <w:t xml:space="preserve"> </w:t>
      </w:r>
      <w:r w:rsidRPr="006C313B">
        <w:rPr>
          <w:rFonts w:ascii="Arial" w:hAnsi="Arial"/>
          <w:bCs/>
          <w:iCs/>
          <w:sz w:val="22"/>
          <w:szCs w:val="22"/>
        </w:rPr>
        <w:t>składającej się z podstaw postępowania przygotowawczego (</w:t>
      </w:r>
      <w:r w:rsidR="00E04665">
        <w:rPr>
          <w:rFonts w:ascii="Arial" w:hAnsi="Arial"/>
          <w:bCs/>
          <w:iCs/>
          <w:sz w:val="22"/>
          <w:szCs w:val="22"/>
        </w:rPr>
        <w:t>dochodzenia</w:t>
      </w:r>
      <w:r w:rsidRPr="006C313B">
        <w:rPr>
          <w:rFonts w:ascii="Arial" w:hAnsi="Arial"/>
          <w:bCs/>
          <w:iCs/>
          <w:sz w:val="22"/>
          <w:szCs w:val="22"/>
        </w:rPr>
        <w:t xml:space="preserve">) </w:t>
      </w:r>
      <w:r w:rsidRPr="006C313B">
        <w:rPr>
          <w:rFonts w:ascii="Arial" w:hAnsi="Arial"/>
          <w:bCs/>
          <w:iCs/>
          <w:sz w:val="22"/>
          <w:szCs w:val="22"/>
        </w:rPr>
        <w:br/>
        <w:t xml:space="preserve">w kwocie </w:t>
      </w:r>
      <w:r w:rsidR="00E04665">
        <w:rPr>
          <w:rFonts w:ascii="Arial" w:hAnsi="Arial"/>
          <w:b/>
          <w:iCs/>
          <w:sz w:val="22"/>
          <w:szCs w:val="22"/>
        </w:rPr>
        <w:t>……………..</w:t>
      </w:r>
      <w:r w:rsidRPr="006C313B">
        <w:rPr>
          <w:rFonts w:ascii="Arial" w:hAnsi="Arial"/>
          <w:bCs/>
          <w:iCs/>
          <w:sz w:val="22"/>
          <w:szCs w:val="22"/>
        </w:rPr>
        <w:t xml:space="preserve"> oraz podstawy postępowania przed Sadem Rejonowym w </w:t>
      </w:r>
      <w:r w:rsidR="00E04665">
        <w:rPr>
          <w:rFonts w:ascii="Arial" w:hAnsi="Arial"/>
          <w:bCs/>
          <w:iCs/>
          <w:sz w:val="22"/>
          <w:szCs w:val="22"/>
        </w:rPr>
        <w:t>…………….</w:t>
      </w:r>
      <w:r w:rsidRPr="006C313B">
        <w:rPr>
          <w:rFonts w:ascii="Arial" w:hAnsi="Arial"/>
          <w:bCs/>
          <w:iCs/>
          <w:sz w:val="22"/>
          <w:szCs w:val="22"/>
        </w:rPr>
        <w:t xml:space="preserve"> tj. łącznie tj. łącznie </w:t>
      </w:r>
      <w:r w:rsidR="00E04665">
        <w:rPr>
          <w:rFonts w:ascii="Arial" w:hAnsi="Arial"/>
          <w:b/>
          <w:iCs/>
          <w:sz w:val="22"/>
          <w:szCs w:val="22"/>
        </w:rPr>
        <w:t>………………………</w:t>
      </w:r>
    </w:p>
    <w:p w14:paraId="564B278E" w14:textId="1FE4F6CA" w:rsidR="00704A96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2DDC5E21" w14:textId="7A13DB0C" w:rsidR="00633FE7" w:rsidRDefault="00633FE7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66C74B00" w14:textId="77777777" w:rsidR="00633FE7" w:rsidRPr="006C313B" w:rsidRDefault="00633FE7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1C395A97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5F550AD3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Uzasadnienie wniosku ewentualnego</w:t>
      </w:r>
    </w:p>
    <w:p w14:paraId="5C8D34C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302F180E" w14:textId="41A01B69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W razie uznania przez Sąd, że domniemanie konstytucyjności przepisu §4 ust. 1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</w:t>
      </w:r>
      <w:r w:rsidRPr="006C313B">
        <w:rPr>
          <w:rFonts w:ascii="Arial" w:eastAsia="Times New Roman" w:hAnsi="Arial"/>
          <w:sz w:val="22"/>
          <w:szCs w:val="22"/>
        </w:rPr>
        <w:t xml:space="preserve">rozporządzenia Ministra Sprawiedliwości w sprawie ponoszenia przez Skarb Państwa kosztów nieopłaconej pomocy prawnej udzielonej przez adwokata z urzędu z dnia </w:t>
      </w:r>
      <w:r w:rsidR="00C6748E">
        <w:rPr>
          <w:rFonts w:ascii="Arial" w:eastAsia="Times New Roman" w:hAnsi="Arial"/>
          <w:sz w:val="22"/>
          <w:szCs w:val="22"/>
        </w:rPr>
        <w:br/>
      </w:r>
      <w:r w:rsidRPr="006C313B">
        <w:rPr>
          <w:rFonts w:ascii="Arial" w:eastAsia="Times New Roman" w:hAnsi="Arial"/>
          <w:sz w:val="22"/>
          <w:szCs w:val="22"/>
        </w:rPr>
        <w:t xml:space="preserve">3 października 2016 roku </w:t>
      </w:r>
      <w:r w:rsidRPr="006C313B">
        <w:rPr>
          <w:rFonts w:ascii="Arial" w:eastAsia="Times New Roman" w:hAnsi="Arial"/>
          <w:b/>
          <w:bCs/>
          <w:sz w:val="22"/>
          <w:szCs w:val="22"/>
        </w:rPr>
        <w:t>nie zostało obalone</w:t>
      </w:r>
      <w:r w:rsidRPr="006C313B">
        <w:rPr>
          <w:rFonts w:ascii="Arial" w:eastAsia="Times New Roman" w:hAnsi="Arial"/>
          <w:sz w:val="22"/>
          <w:szCs w:val="22"/>
        </w:rPr>
        <w:t xml:space="preserve">, wnoszę o przyznanie kosztów nieopłaconej pomocy prawnej w stawce wynagrodzenia określonej w przepisie </w:t>
      </w:r>
      <w:r w:rsidRPr="006C313B">
        <w:rPr>
          <w:rFonts w:ascii="Arial" w:hAnsi="Arial"/>
          <w:bCs/>
          <w:iCs/>
          <w:sz w:val="22"/>
          <w:szCs w:val="22"/>
        </w:rPr>
        <w:t xml:space="preserve">§ 17 ust. 1 pkt. 2 w zw. </w:t>
      </w:r>
      <w:r w:rsidR="00C6748E">
        <w:rPr>
          <w:rFonts w:ascii="Arial" w:hAnsi="Arial"/>
          <w:bCs/>
          <w:iCs/>
          <w:sz w:val="22"/>
          <w:szCs w:val="22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 xml:space="preserve">z § 17 ust. 2 pkt. 3 </w:t>
      </w:r>
      <w:r w:rsidRPr="006C313B">
        <w:rPr>
          <w:rFonts w:ascii="Arial" w:eastAsia="Times New Roman" w:hAnsi="Arial"/>
          <w:sz w:val="22"/>
          <w:szCs w:val="22"/>
        </w:rPr>
        <w:t xml:space="preserve">rozporządzenia w sprawie ponoszenia przez Skarb Państwa kosztów nieopłaconej pomocy prawnej udzielonej przez adwokata z urzędu z dnia 3 października 2016 roku </w:t>
      </w:r>
      <w:r w:rsidRPr="006C313B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Pr="006C313B">
        <w:rPr>
          <w:rFonts w:ascii="Arial" w:hAnsi="Arial"/>
          <w:bCs/>
          <w:iCs/>
          <w:sz w:val="22"/>
          <w:szCs w:val="22"/>
        </w:rPr>
        <w:t xml:space="preserve">zastosowania § 4 ust. 2 pkt. 1 niniejszego rozporządzenia </w:t>
      </w:r>
      <w:r w:rsidR="00C6748E">
        <w:rPr>
          <w:rFonts w:ascii="Arial" w:hAnsi="Arial"/>
          <w:bCs/>
          <w:iCs/>
          <w:sz w:val="22"/>
          <w:szCs w:val="22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 xml:space="preserve">tj. w stawce 150% z uwagi na nakład pracy adwokata nieadekwatny do stawki podstawowej, </w:t>
      </w:r>
      <w:r w:rsidR="00E04665">
        <w:rPr>
          <w:rFonts w:ascii="Arial" w:hAnsi="Arial"/>
          <w:bCs/>
          <w:iCs/>
          <w:sz w:val="22"/>
          <w:szCs w:val="22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>z uwagi na zmianę poziomu cen oraz wartości nabywczej pieniądza od 28 września 2002 roku, w którym to określono tożsamą stawkę dla pełnomocnika z urzędu.</w:t>
      </w:r>
    </w:p>
    <w:p w14:paraId="19BA8F6E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251D273C" w14:textId="460AB3AF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6C313B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6C313B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pomocy prawnej udzielonej z urzędu z dnia 28 września 2002 roku. </w:t>
      </w:r>
      <w:r w:rsidRPr="006C313B">
        <w:rPr>
          <w:rFonts w:ascii="Arial" w:hAnsi="Arial"/>
          <w:bCs/>
          <w:sz w:val="22"/>
          <w:szCs w:val="22"/>
        </w:rPr>
        <w:t>Według  § 14 ust. 1 pkt. 2 w zw. z §14 ust. 2 pkt. 3 rozporządzenia z 2002 roku stawka za reprezentowanie podejrzanego/oskarżonego została także określona w stawce 300 złotych za prowadzenie sprawy obejmującą postępowanie przygotowawcze (śledztwo) oraz postępowanie przed sądem 420 złotych w postepowaniu zwyczajnym.</w:t>
      </w:r>
    </w:p>
    <w:p w14:paraId="6A76EC15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F4BBFD0" w14:textId="7C2D6F7D" w:rsidR="00704A96" w:rsidRPr="006C313B" w:rsidRDefault="00704A96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/>
          <w:iCs/>
          <w:sz w:val="22"/>
          <w:szCs w:val="22"/>
        </w:rPr>
        <w:t>Wynagrodzenie określone w rozporządzeniu MS z 28 września 200</w:t>
      </w:r>
      <w:r w:rsidR="001F0DAC">
        <w:rPr>
          <w:rFonts w:ascii="Arial" w:hAnsi="Arial"/>
          <w:b/>
          <w:iCs/>
          <w:sz w:val="22"/>
          <w:szCs w:val="22"/>
        </w:rPr>
        <w:t>2</w:t>
      </w:r>
      <w:r w:rsidRPr="006C313B">
        <w:rPr>
          <w:rFonts w:ascii="Arial" w:hAnsi="Arial"/>
          <w:b/>
          <w:iCs/>
          <w:sz w:val="22"/>
          <w:szCs w:val="22"/>
        </w:rPr>
        <w:t xml:space="preserve"> roku (Dz. U. Nr 163)</w:t>
      </w:r>
    </w:p>
    <w:p w14:paraId="480A74C4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>http://isap.sejm.gov.pl/isap.nsf/download.xsp/WDU20021631348/O/D20021348.pdf</w:t>
      </w:r>
    </w:p>
    <w:p w14:paraId="542E53C0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04166B" wp14:editId="0DDCDA1F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2672080" cy="26835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FD0B5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A8832B" wp14:editId="17BCF366">
            <wp:simplePos x="0" y="0"/>
            <wp:positionH relativeFrom="margin">
              <wp:align>left</wp:align>
            </wp:positionH>
            <wp:positionV relativeFrom="paragraph">
              <wp:posOffset>8043</wp:posOffset>
            </wp:positionV>
            <wp:extent cx="2812468" cy="1210733"/>
            <wp:effectExtent l="0" t="0" r="698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68" cy="121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6F11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4EDFCBA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955FEB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F8DC3CA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C9CFB5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D623195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B15153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2DAE094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1E65733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CABF34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BA1BE84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F335F93" w14:textId="77777777" w:rsidR="00E04665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56941729" w14:textId="77777777" w:rsidR="00E04665" w:rsidRDefault="00E04665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5A877B5" w14:textId="77777777" w:rsidR="00454495" w:rsidRPr="00CC27F9" w:rsidRDefault="00454495" w:rsidP="0045449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Nadmienię tylko, iż:</w:t>
      </w:r>
    </w:p>
    <w:p w14:paraId="7B052095" w14:textId="77777777" w:rsidR="00454495" w:rsidRPr="00CC27F9" w:rsidRDefault="00454495" w:rsidP="004544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CC27F9">
        <w:rPr>
          <w:rFonts w:ascii="Arial" w:hAnsi="Arial"/>
          <w:b/>
          <w:bCs/>
          <w:sz w:val="22"/>
          <w:szCs w:val="22"/>
        </w:rPr>
        <w:t>46,52 %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przy czym wskaźnik inflacji za ostatnie miesiące 2021 roku to prawie 8%;</w:t>
      </w:r>
    </w:p>
    <w:p w14:paraId="0EBFFF6D" w14:textId="77777777" w:rsidR="00454495" w:rsidRPr="00CC27F9" w:rsidRDefault="00454495" w:rsidP="004544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minimalne wynagrodzenie w 2002 r wynosiło </w:t>
      </w:r>
      <w:r w:rsidRPr="00CC27F9">
        <w:rPr>
          <w:rFonts w:ascii="Arial" w:hAnsi="Arial"/>
          <w:b/>
          <w:bCs/>
          <w:sz w:val="22"/>
          <w:szCs w:val="22"/>
        </w:rPr>
        <w:t>760 zł brutto</w:t>
      </w:r>
      <w:r w:rsidRPr="00CC27F9">
        <w:rPr>
          <w:rFonts w:ascii="Arial" w:hAnsi="Arial"/>
          <w:sz w:val="22"/>
          <w:szCs w:val="22"/>
        </w:rPr>
        <w:t xml:space="preserve">, podczas gdy obecnie minimalne wynagrodzenie wynosi </w:t>
      </w:r>
      <w:r>
        <w:rPr>
          <w:rFonts w:ascii="Arial" w:hAnsi="Arial"/>
          <w:b/>
          <w:bCs/>
          <w:sz w:val="22"/>
          <w:szCs w:val="22"/>
        </w:rPr>
        <w:t>3 010</w:t>
      </w:r>
      <w:r w:rsidRPr="00CC27F9">
        <w:rPr>
          <w:rFonts w:ascii="Arial" w:hAnsi="Arial"/>
          <w:b/>
          <w:bCs/>
          <w:sz w:val="22"/>
          <w:szCs w:val="22"/>
        </w:rPr>
        <w:t xml:space="preserve"> zł brutto; </w:t>
      </w:r>
      <w:r w:rsidRPr="00CC27F9">
        <w:rPr>
          <w:rFonts w:ascii="Arial" w:hAnsi="Arial"/>
          <w:sz w:val="22"/>
          <w:szCs w:val="22"/>
        </w:rPr>
        <w:t xml:space="preserve">tj. wzrost o </w:t>
      </w:r>
      <w:r w:rsidRPr="00CC27F9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96</w:t>
      </w:r>
      <w:r w:rsidRPr="00CC27F9">
        <w:rPr>
          <w:rFonts w:ascii="Arial" w:hAnsi="Arial"/>
          <w:b/>
          <w:bCs/>
          <w:sz w:val="22"/>
          <w:szCs w:val="22"/>
        </w:rPr>
        <w:t>%</w:t>
      </w:r>
      <w:r w:rsidRPr="00CC27F9">
        <w:rPr>
          <w:rFonts w:ascii="Arial" w:hAnsi="Arial"/>
          <w:sz w:val="22"/>
          <w:szCs w:val="22"/>
        </w:rPr>
        <w:t>;</w:t>
      </w:r>
    </w:p>
    <w:p w14:paraId="76B69F7C" w14:textId="77777777" w:rsidR="00454495" w:rsidRPr="00CC27F9" w:rsidRDefault="00454495" w:rsidP="004544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przeciętne wynagrodzenie w 2002 r. wynosiło </w:t>
      </w:r>
      <w:r w:rsidRPr="00CC27F9">
        <w:rPr>
          <w:rFonts w:ascii="Arial" w:hAnsi="Arial"/>
          <w:b/>
          <w:bCs/>
          <w:sz w:val="22"/>
          <w:szCs w:val="22"/>
        </w:rPr>
        <w:t>2 133,21 zł</w:t>
      </w:r>
      <w:r w:rsidRPr="00CC27F9"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CC27F9">
        <w:rPr>
          <w:rFonts w:ascii="Arial" w:hAnsi="Arial"/>
          <w:b/>
          <w:bCs/>
          <w:sz w:val="22"/>
          <w:szCs w:val="22"/>
        </w:rPr>
        <w:t>5 </w:t>
      </w:r>
      <w:r>
        <w:rPr>
          <w:rFonts w:ascii="Arial" w:hAnsi="Arial"/>
          <w:b/>
          <w:bCs/>
          <w:sz w:val="22"/>
          <w:szCs w:val="22"/>
        </w:rPr>
        <w:t>922</w:t>
      </w:r>
      <w:r w:rsidRPr="00CC27F9">
        <w:rPr>
          <w:rFonts w:ascii="Arial" w:hAnsi="Arial"/>
          <w:b/>
          <w:bCs/>
          <w:sz w:val="22"/>
          <w:szCs w:val="22"/>
        </w:rPr>
        <w:t xml:space="preserve"> zł </w:t>
      </w:r>
      <w:r w:rsidRPr="00CC27F9">
        <w:rPr>
          <w:rFonts w:ascii="Arial" w:hAnsi="Arial"/>
          <w:sz w:val="22"/>
          <w:szCs w:val="22"/>
        </w:rPr>
        <w:t xml:space="preserve">tj. wzrost </w:t>
      </w:r>
      <w:r w:rsidRPr="00CC27F9">
        <w:rPr>
          <w:rFonts w:ascii="Arial" w:hAnsi="Arial"/>
          <w:b/>
          <w:bCs/>
          <w:sz w:val="22"/>
          <w:szCs w:val="22"/>
        </w:rPr>
        <w:t>o 27</w:t>
      </w:r>
      <w:r>
        <w:rPr>
          <w:rFonts w:ascii="Arial" w:hAnsi="Arial"/>
          <w:b/>
          <w:bCs/>
          <w:sz w:val="22"/>
          <w:szCs w:val="22"/>
        </w:rPr>
        <w:t>8</w:t>
      </w:r>
      <w:r w:rsidRPr="00CC27F9">
        <w:rPr>
          <w:rFonts w:ascii="Arial" w:hAnsi="Arial"/>
          <w:b/>
          <w:bCs/>
          <w:sz w:val="22"/>
          <w:szCs w:val="22"/>
        </w:rPr>
        <w:t>%;</w:t>
      </w:r>
    </w:p>
    <w:p w14:paraId="57113C4D" w14:textId="77777777" w:rsidR="00454495" w:rsidRPr="00CC27F9" w:rsidRDefault="00454495" w:rsidP="004544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radcy prawnego Prokuratorii Generalnej Skarbu Państwa w stawce podstawowej wynosi 80% stawki zasadniczej sędziego sądu rejonowego (w 2002 roku PGSP nie istniała);</w:t>
      </w:r>
    </w:p>
    <w:p w14:paraId="4B43314F" w14:textId="77777777" w:rsidR="00454495" w:rsidRPr="00CC27F9" w:rsidRDefault="00454495" w:rsidP="004544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3654F1AC" w14:textId="77777777" w:rsidR="00E04665" w:rsidRPr="00E04665" w:rsidRDefault="00E04665" w:rsidP="006931F3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0716BD3A" w14:textId="5A5204E7" w:rsidR="00704A96" w:rsidRPr="006931F3" w:rsidRDefault="006931F3" w:rsidP="006931F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704A96" w:rsidRPr="006931F3">
        <w:rPr>
          <w:rFonts w:ascii="Arial" w:hAnsi="Arial"/>
          <w:sz w:val="22"/>
          <w:szCs w:val="22"/>
        </w:rPr>
        <w:t>ówimy tutaj jedynie o uśredniony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 xml:space="preserve"> wskaźnik</w:t>
      </w:r>
      <w:r>
        <w:rPr>
          <w:rFonts w:ascii="Arial" w:hAnsi="Arial"/>
          <w:sz w:val="22"/>
          <w:szCs w:val="22"/>
        </w:rPr>
        <w:t>ach</w:t>
      </w:r>
      <w:r w:rsidR="00704A96" w:rsidRPr="006931F3">
        <w:rPr>
          <w:rFonts w:ascii="Arial" w:hAnsi="Arial"/>
          <w:sz w:val="22"/>
          <w:szCs w:val="22"/>
        </w:rPr>
        <w:t xml:space="preserve"> statystyczny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>. Żądana wysokość wynagrodzenia jest próbą urealnienia wynagrodzenia adwokackiego, które – mimo wzrostu wynagrodzeń w każdej dziedziczenia życia nie uległo stosownej zmianie.</w:t>
      </w:r>
    </w:p>
    <w:p w14:paraId="0E66038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A156D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6C313B">
        <w:rPr>
          <w:rFonts w:ascii="Arial" w:hAnsi="Arial"/>
          <w:i/>
          <w:iCs/>
          <w:sz w:val="22"/>
          <w:szCs w:val="22"/>
          <w:u w:val="single"/>
        </w:rPr>
        <w:t xml:space="preserve">nakładu pracy adwokata,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 xml:space="preserve">w szczególności czasu poświęconego na przygotowanie się do przygotowania sprawy, stawiennictw w sądzie, w tym na rozprawach i posiedzeniach, czynności podjętych w sprawie,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>w tym czynnościach podjętych w celu polubownego rozwiązania sporu, również przed wniesieniem pozwu”.</w:t>
      </w:r>
      <w:r w:rsidRPr="006C313B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1A8E1E73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932E43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b/>
          <w:bCs/>
          <w:sz w:val="22"/>
          <w:szCs w:val="22"/>
        </w:rPr>
        <w:lastRenderedPageBreak/>
        <w:t xml:space="preserve">Jeżeli ustawodawca przez 19 lat nie zdecydował się zmienić wyceny tej pracy i pozostawić ją na takim samym poziomie, Sądowi należałoby przypisać w tym zakresie rolę naprawczą.  </w:t>
      </w:r>
    </w:p>
    <w:p w14:paraId="106AD66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DB0B40A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 xml:space="preserve">Wniosek ewentualny obejmuje przyznanie kosztów nieopłaconej pomocy udzielonej podejrzanemu/oskarżonemu z urzędu </w:t>
      </w:r>
      <w:r w:rsidRPr="006C313B">
        <w:rPr>
          <w:rFonts w:ascii="Arial" w:hAnsi="Arial"/>
          <w:bCs/>
          <w:iCs/>
          <w:sz w:val="22"/>
          <w:szCs w:val="22"/>
        </w:rPr>
        <w:t>składającej się z:</w:t>
      </w:r>
    </w:p>
    <w:p w14:paraId="2EF7D66D" w14:textId="3F7B1380" w:rsidR="00704A96" w:rsidRPr="006C313B" w:rsidRDefault="00704A96" w:rsidP="00704A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>podstawy postępowania przygotowawczego (</w:t>
      </w:r>
      <w:r w:rsidR="00E04665">
        <w:rPr>
          <w:rFonts w:ascii="Arial" w:hAnsi="Arial"/>
          <w:bCs/>
          <w:iCs/>
          <w:sz w:val="22"/>
          <w:szCs w:val="22"/>
        </w:rPr>
        <w:t>dochodzenia</w:t>
      </w:r>
      <w:r w:rsidRPr="006C313B">
        <w:rPr>
          <w:rFonts w:ascii="Arial" w:hAnsi="Arial"/>
          <w:bCs/>
          <w:iCs/>
          <w:sz w:val="22"/>
          <w:szCs w:val="22"/>
        </w:rPr>
        <w:t xml:space="preserve">) w kwocie </w:t>
      </w:r>
      <w:r w:rsidR="00E04665">
        <w:rPr>
          <w:rFonts w:ascii="Arial" w:hAnsi="Arial"/>
          <w:bCs/>
          <w:iCs/>
          <w:sz w:val="22"/>
          <w:szCs w:val="22"/>
        </w:rPr>
        <w:t>180</w:t>
      </w:r>
      <w:r w:rsidRPr="006C313B">
        <w:rPr>
          <w:rFonts w:ascii="Arial" w:hAnsi="Arial"/>
          <w:bCs/>
          <w:iCs/>
          <w:sz w:val="22"/>
          <w:szCs w:val="22"/>
        </w:rPr>
        <w:t xml:space="preserve"> złotych </w:t>
      </w:r>
    </w:p>
    <w:p w14:paraId="74E9D18F" w14:textId="7BD172DB" w:rsidR="00704A96" w:rsidRPr="006C313B" w:rsidRDefault="00704A96" w:rsidP="00704A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>podstawy postępowania przed Sadem Rejonowym w kwocie 420 złotych</w:t>
      </w:r>
    </w:p>
    <w:p w14:paraId="6E09CAA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08AF931B" w14:textId="4F2D5885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/>
          <w:iCs/>
          <w:sz w:val="22"/>
          <w:szCs w:val="22"/>
        </w:rPr>
        <w:t xml:space="preserve">tj. łącznie </w:t>
      </w:r>
      <w:r w:rsidR="00633FE7">
        <w:rPr>
          <w:rFonts w:ascii="Arial" w:hAnsi="Arial"/>
          <w:b/>
          <w:iCs/>
          <w:sz w:val="22"/>
          <w:szCs w:val="22"/>
        </w:rPr>
        <w:t>….</w:t>
      </w:r>
      <w:r w:rsidRPr="006C313B">
        <w:rPr>
          <w:rFonts w:ascii="Arial" w:hAnsi="Arial"/>
          <w:b/>
          <w:iCs/>
          <w:sz w:val="22"/>
          <w:szCs w:val="22"/>
        </w:rPr>
        <w:t xml:space="preserve"> zł *150% = </w:t>
      </w:r>
      <w:r w:rsidR="00E04665">
        <w:rPr>
          <w:rFonts w:ascii="Arial" w:hAnsi="Arial"/>
          <w:b/>
          <w:iCs/>
          <w:sz w:val="22"/>
          <w:szCs w:val="22"/>
        </w:rPr>
        <w:t>…………</w:t>
      </w:r>
      <w:r w:rsidRPr="006C313B">
        <w:rPr>
          <w:rFonts w:ascii="Arial" w:hAnsi="Arial"/>
          <w:b/>
          <w:iCs/>
          <w:sz w:val="22"/>
          <w:szCs w:val="22"/>
        </w:rPr>
        <w:t xml:space="preserve"> zł + VAT (</w:t>
      </w:r>
      <w:r w:rsidR="00E04665">
        <w:rPr>
          <w:rFonts w:ascii="Arial" w:hAnsi="Arial"/>
          <w:b/>
          <w:iCs/>
          <w:sz w:val="22"/>
          <w:szCs w:val="22"/>
        </w:rPr>
        <w:t>…………….</w:t>
      </w:r>
      <w:r w:rsidRPr="006C313B">
        <w:rPr>
          <w:rFonts w:ascii="Arial" w:hAnsi="Arial"/>
          <w:b/>
          <w:iCs/>
          <w:sz w:val="22"/>
          <w:szCs w:val="22"/>
        </w:rPr>
        <w:t xml:space="preserve">) - &gt; łącznie </w:t>
      </w:r>
      <w:r w:rsidR="00E04665">
        <w:rPr>
          <w:rFonts w:ascii="Arial" w:hAnsi="Arial"/>
          <w:b/>
          <w:iCs/>
          <w:sz w:val="22"/>
          <w:szCs w:val="22"/>
        </w:rPr>
        <w:t>……………….</w:t>
      </w:r>
    </w:p>
    <w:p w14:paraId="52AB15C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08702CA6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526D813E" w14:textId="4358D277" w:rsidR="00704A96" w:rsidRPr="006C313B" w:rsidRDefault="00704A96" w:rsidP="00704A96">
      <w:pPr>
        <w:jc w:val="right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……………………………………………….</w:t>
      </w:r>
    </w:p>
    <w:p w14:paraId="418F068F" w14:textId="729AC844" w:rsidR="00704A96" w:rsidRDefault="00704A96" w:rsidP="00704A96">
      <w:pPr>
        <w:jc w:val="right"/>
        <w:rPr>
          <w:rFonts w:ascii="Arial" w:hAnsi="Arial"/>
          <w:sz w:val="22"/>
          <w:szCs w:val="22"/>
        </w:rPr>
      </w:pPr>
    </w:p>
    <w:p w14:paraId="3701D48F" w14:textId="5C445587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4492053E" w14:textId="30DFF643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AF740E8" w14:textId="1A81D295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017870DB" w14:textId="048E230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5BE38AFB" w14:textId="43579BA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2FC2A4C" w14:textId="6EEF4F0B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6DB843FE" w14:textId="51154FCC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39A32DEF" w14:textId="44260816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0210FACE" w14:textId="607256E6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D7C99E3" w14:textId="50286C43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7F1AB497" w14:textId="7122FF13" w:rsidR="00BC5E6A" w:rsidRPr="00BC5E6A" w:rsidRDefault="00BC5E6A" w:rsidP="00BC5E6A">
      <w:pPr>
        <w:rPr>
          <w:rFonts w:ascii="Arial" w:hAnsi="Arial"/>
          <w:b/>
          <w:bCs/>
          <w:sz w:val="22"/>
          <w:szCs w:val="22"/>
        </w:rPr>
      </w:pPr>
      <w:r w:rsidRPr="00BC5E6A">
        <w:rPr>
          <w:rFonts w:ascii="Arial" w:hAnsi="Arial"/>
          <w:b/>
          <w:bCs/>
          <w:sz w:val="22"/>
          <w:szCs w:val="22"/>
        </w:rPr>
        <w:t>W załączeniu:</w:t>
      </w:r>
    </w:p>
    <w:p w14:paraId="66A05DA5" w14:textId="31356E2A" w:rsidR="00BC5E6A" w:rsidRDefault="00BC5E6A" w:rsidP="00BC5E6A">
      <w:pPr>
        <w:rPr>
          <w:rFonts w:ascii="Arial" w:hAnsi="Arial"/>
          <w:b/>
          <w:bCs/>
          <w:sz w:val="22"/>
          <w:szCs w:val="22"/>
        </w:rPr>
      </w:pPr>
    </w:p>
    <w:p w14:paraId="69D01852" w14:textId="103409C2" w:rsidR="00BC5E6A" w:rsidRPr="00BC5E6A" w:rsidRDefault="00BC5E6A" w:rsidP="00BC5E6A">
      <w:pPr>
        <w:pStyle w:val="Akapitzlist"/>
        <w:numPr>
          <w:ilvl w:val="0"/>
          <w:numId w:val="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orzecznictwa dot. spraw z urzędu;</w:t>
      </w:r>
    </w:p>
    <w:sectPr w:rsidR="00BC5E6A" w:rsidRPr="00BC5E6A" w:rsidSect="000408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0B53" w14:textId="77777777" w:rsidR="000D7452" w:rsidRDefault="000D7452" w:rsidP="000408B0">
      <w:r>
        <w:separator/>
      </w:r>
    </w:p>
  </w:endnote>
  <w:endnote w:type="continuationSeparator" w:id="0">
    <w:p w14:paraId="64CACA9B" w14:textId="77777777" w:rsidR="000D7452" w:rsidRDefault="000D7452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005095"/>
      <w:docPartObj>
        <w:docPartGallery w:val="Page Numbers (Bottom of Page)"/>
        <w:docPartUnique/>
      </w:docPartObj>
    </w:sdtPr>
    <w:sdtEndPr/>
    <w:sdtContent>
      <w:p w14:paraId="7ECEB35C" w14:textId="24838352" w:rsidR="006931F3" w:rsidRDefault="00693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8CBCA" w14:textId="77777777" w:rsidR="006931F3" w:rsidRDefault="0069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6B5" w14:textId="38BBF1E8" w:rsidR="00BE39BC" w:rsidRDefault="00193C1E">
    <w:pPr>
      <w:pStyle w:val="Stopka"/>
    </w:pPr>
    <w:r>
      <w:t xml:space="preserve"> </w:t>
    </w:r>
  </w:p>
  <w:p w14:paraId="32BFFBD3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302C" w14:textId="77777777" w:rsidR="000D7452" w:rsidRDefault="000D7452" w:rsidP="000408B0">
      <w:r>
        <w:separator/>
      </w:r>
    </w:p>
  </w:footnote>
  <w:footnote w:type="continuationSeparator" w:id="0">
    <w:p w14:paraId="182D2404" w14:textId="77777777" w:rsidR="000D7452" w:rsidRDefault="000D7452" w:rsidP="000408B0">
      <w:r>
        <w:continuationSeparator/>
      </w:r>
    </w:p>
  </w:footnote>
  <w:footnote w:id="1">
    <w:p w14:paraId="276431A4" w14:textId="3B6517DA" w:rsidR="00472C7C" w:rsidRDefault="00472C7C" w:rsidP="00472C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761E"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z dnia 6 października 2021 roku – C 487/19; wyrok TSUE z dnia </w:t>
      </w:r>
      <w:r w:rsidR="00B1761E">
        <w:rPr>
          <w:rFonts w:ascii="Arial" w:hAnsi="Arial"/>
          <w:sz w:val="18"/>
          <w:szCs w:val="18"/>
        </w:rPr>
        <w:t>2 marca</w:t>
      </w:r>
      <w:r w:rsidR="00B1761E" w:rsidRPr="00472C7C">
        <w:rPr>
          <w:rFonts w:ascii="Arial" w:hAnsi="Arial"/>
          <w:sz w:val="18"/>
          <w:szCs w:val="18"/>
        </w:rPr>
        <w:t xml:space="preserve"> 2021 roku – C </w:t>
      </w:r>
      <w:r w:rsidR="00B1761E">
        <w:rPr>
          <w:rFonts w:ascii="Arial" w:hAnsi="Arial"/>
          <w:sz w:val="18"/>
          <w:szCs w:val="18"/>
        </w:rPr>
        <w:t>824</w:t>
      </w:r>
      <w:r w:rsidR="00B1761E" w:rsidRPr="00472C7C">
        <w:rPr>
          <w:rFonts w:ascii="Arial" w:hAnsi="Arial"/>
          <w:sz w:val="18"/>
          <w:szCs w:val="18"/>
        </w:rPr>
        <w:t>/1</w:t>
      </w:r>
      <w:r w:rsidR="00B1761E">
        <w:rPr>
          <w:rFonts w:ascii="Arial" w:hAnsi="Arial"/>
          <w:sz w:val="18"/>
          <w:szCs w:val="18"/>
        </w:rPr>
        <w:t>8</w:t>
      </w:r>
      <w:r w:rsidR="00B1761E" w:rsidRPr="00472C7C">
        <w:rPr>
          <w:rFonts w:ascii="Arial" w:hAnsi="Arial"/>
          <w:sz w:val="18"/>
          <w:szCs w:val="18"/>
        </w:rPr>
        <w:t>; postanowienie zabezpieczające z dnia 14 lipca 2021 roku – C 204/2) oraz orzecznictwem Europejskiego Trybunału Praw Człowieka (wyrok w sprawie skargi nr 26374/18 Guðmundur Andri Ástráðsson pko Islandii oraz wyrok w sprawie skargi nr 4344719 Reczkowicz pko Polsce)</w:t>
      </w:r>
      <w:r w:rsidR="00822874">
        <w:rPr>
          <w:rFonts w:ascii="Arial" w:hAnsi="Arial"/>
          <w:sz w:val="18"/>
          <w:szCs w:val="18"/>
        </w:rPr>
        <w:t>, a zwłaszcza wyrok Europejskiego Trybunału Praw Człowieka z dnia 7 maja 2021 roku w sprawie skargi nr 4907/18 Xero Flor w Polsce sp. z o.o. pko Polsce.</w:t>
      </w:r>
    </w:p>
  </w:footnote>
  <w:footnote w:id="2">
    <w:p w14:paraId="6FBBA0D0" w14:textId="765D9BBF" w:rsidR="005C2008" w:rsidRDefault="005C2008" w:rsidP="005C2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 w:rsidR="004B21C8"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>; CH Beck. Warszawa 2017; P. Mikuli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45D24B33" w14:textId="20FB3AED" w:rsidR="005C2008" w:rsidRPr="00217954" w:rsidRDefault="005C2008" w:rsidP="007215B0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2A056A" w:rsidRPr="007215B0">
        <w:rPr>
          <w:rFonts w:ascii="Arial" w:hAnsi="Arial"/>
          <w:sz w:val="18"/>
          <w:szCs w:val="18"/>
        </w:rPr>
        <w:t>We wcześniejszym orzeczenie Sądowym możliwość taka została potwierdzona w wyroku SN z dnia 3 grudnia 2008 roku, sygn. akt. V CSK 310/08 (</w:t>
      </w:r>
      <w:r w:rsidR="007215B0" w:rsidRPr="007215B0">
        <w:rPr>
          <w:rFonts w:ascii="Arial" w:hAnsi="Arial"/>
          <w:sz w:val="18"/>
          <w:szCs w:val="18"/>
        </w:rPr>
        <w:t xml:space="preserve">OSNC 2016/12/148) zgodnie z którym </w:t>
      </w:r>
      <w:r w:rsidR="007215B0"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 w:rsidR="007215B0"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="007215B0" w:rsidRPr="007215B0">
        <w:rPr>
          <w:rFonts w:ascii="Arial" w:hAnsi="Arial"/>
          <w:sz w:val="18"/>
          <w:szCs w:val="18"/>
        </w:rPr>
        <w:t>W najnowszym</w:t>
      </w:r>
      <w:r w:rsidR="007215B0">
        <w:rPr>
          <w:rFonts w:ascii="Arial" w:hAnsi="Arial"/>
          <w:b/>
          <w:bCs/>
          <w:sz w:val="18"/>
          <w:szCs w:val="18"/>
        </w:rPr>
        <w:t xml:space="preserve"> </w:t>
      </w:r>
      <w:r w:rsidR="004B21C8" w:rsidRPr="002A056A">
        <w:rPr>
          <w:rFonts w:ascii="Arial" w:hAnsi="Arial"/>
          <w:sz w:val="18"/>
          <w:szCs w:val="18"/>
        </w:rPr>
        <w:t xml:space="preserve">orzecznictwie </w:t>
      </w:r>
      <w:r w:rsidR="007215B0">
        <w:rPr>
          <w:rFonts w:ascii="Arial" w:hAnsi="Arial"/>
          <w:sz w:val="18"/>
          <w:szCs w:val="18"/>
        </w:rPr>
        <w:t>s</w:t>
      </w:r>
      <w:r w:rsidR="004B21C8" w:rsidRPr="002A056A">
        <w:rPr>
          <w:rFonts w:ascii="Arial" w:hAnsi="Arial"/>
          <w:sz w:val="18"/>
          <w:szCs w:val="18"/>
        </w:rPr>
        <w:t xml:space="preserve">ądowym za taką </w:t>
      </w:r>
      <w:r w:rsidR="007215B0">
        <w:rPr>
          <w:rFonts w:ascii="Arial" w:hAnsi="Arial"/>
          <w:sz w:val="18"/>
          <w:szCs w:val="18"/>
        </w:rPr>
        <w:t>możliwością</w:t>
      </w:r>
      <w:r w:rsidR="004B21C8"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</w:t>
      </w:r>
      <w:r w:rsidR="002A056A" w:rsidRPr="002A056A">
        <w:rPr>
          <w:rFonts w:ascii="Arial" w:hAnsi="Arial"/>
          <w:sz w:val="18"/>
          <w:szCs w:val="18"/>
        </w:rPr>
        <w:t>377</w:t>
      </w:r>
      <w:r w:rsidR="004B21C8" w:rsidRPr="002A056A">
        <w:rPr>
          <w:rFonts w:ascii="Arial" w:hAnsi="Arial"/>
          <w:sz w:val="18"/>
          <w:szCs w:val="18"/>
        </w:rPr>
        <w:t xml:space="preserve">/15, </w:t>
      </w:r>
      <w:r w:rsidR="002A056A" w:rsidRPr="002A056A">
        <w:rPr>
          <w:rFonts w:ascii="Arial" w:hAnsi="Arial"/>
          <w:sz w:val="18"/>
          <w:szCs w:val="18"/>
        </w:rPr>
        <w:t>OSNC 2016/12/14</w:t>
      </w:r>
      <w:r w:rsidR="00217954"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AKa 824/20, nie publ.)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8A7" w14:textId="77777777" w:rsidR="000408B0" w:rsidRDefault="000408B0">
    <w:pPr>
      <w:pStyle w:val="Nagwek"/>
    </w:pPr>
  </w:p>
  <w:p w14:paraId="41D9F600" w14:textId="77777777" w:rsidR="000408B0" w:rsidRDefault="000408B0">
    <w:pPr>
      <w:pStyle w:val="Nagwek"/>
    </w:pPr>
  </w:p>
  <w:p w14:paraId="61BF34D7" w14:textId="77777777" w:rsidR="000408B0" w:rsidRDefault="000408B0">
    <w:pPr>
      <w:pStyle w:val="Nagwek"/>
    </w:pPr>
  </w:p>
  <w:p w14:paraId="7F5B09F2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2C4" w14:textId="77777777" w:rsidR="000408B0" w:rsidRDefault="000408B0">
    <w:pPr>
      <w:pStyle w:val="Nagwek"/>
    </w:pPr>
  </w:p>
  <w:p w14:paraId="62299F56" w14:textId="50180F5D" w:rsidR="000408B0" w:rsidRDefault="000408B0">
    <w:pPr>
      <w:pStyle w:val="Nagwek"/>
    </w:pPr>
  </w:p>
  <w:p w14:paraId="556AE193" w14:textId="77777777" w:rsidR="000408B0" w:rsidRDefault="000408B0">
    <w:pPr>
      <w:pStyle w:val="Nagwek"/>
    </w:pPr>
  </w:p>
  <w:p w14:paraId="005CAC1B" w14:textId="77777777" w:rsidR="000408B0" w:rsidRDefault="000408B0">
    <w:pPr>
      <w:pStyle w:val="Nagwek"/>
    </w:pPr>
  </w:p>
  <w:p w14:paraId="7E434A44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7DCA1550">
      <w:start w:val="1"/>
      <w:numFmt w:val="decimal"/>
      <w:lvlText w:val="%1."/>
      <w:lvlJc w:val="left"/>
    </w:lvl>
    <w:lvl w:ilvl="1" w:tplc="05FACC48">
      <w:start w:val="1"/>
      <w:numFmt w:val="bullet"/>
      <w:lvlText w:val=""/>
      <w:lvlJc w:val="left"/>
    </w:lvl>
    <w:lvl w:ilvl="2" w:tplc="918C2A02">
      <w:start w:val="1"/>
      <w:numFmt w:val="bullet"/>
      <w:lvlText w:val=""/>
      <w:lvlJc w:val="left"/>
    </w:lvl>
    <w:lvl w:ilvl="3" w:tplc="117E524A">
      <w:start w:val="1"/>
      <w:numFmt w:val="bullet"/>
      <w:lvlText w:val=""/>
      <w:lvlJc w:val="left"/>
    </w:lvl>
    <w:lvl w:ilvl="4" w:tplc="334C3906">
      <w:start w:val="1"/>
      <w:numFmt w:val="bullet"/>
      <w:lvlText w:val=""/>
      <w:lvlJc w:val="left"/>
    </w:lvl>
    <w:lvl w:ilvl="5" w:tplc="228260B8">
      <w:start w:val="1"/>
      <w:numFmt w:val="bullet"/>
      <w:lvlText w:val=""/>
      <w:lvlJc w:val="left"/>
    </w:lvl>
    <w:lvl w:ilvl="6" w:tplc="0A443C2E">
      <w:start w:val="1"/>
      <w:numFmt w:val="bullet"/>
      <w:lvlText w:val=""/>
      <w:lvlJc w:val="left"/>
    </w:lvl>
    <w:lvl w:ilvl="7" w:tplc="45703362">
      <w:start w:val="1"/>
      <w:numFmt w:val="bullet"/>
      <w:lvlText w:val=""/>
      <w:lvlJc w:val="left"/>
    </w:lvl>
    <w:lvl w:ilvl="8" w:tplc="AA982F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3F27E1E">
      <w:start w:val="1"/>
      <w:numFmt w:val="bullet"/>
      <w:lvlText w:val="w"/>
      <w:lvlJc w:val="left"/>
    </w:lvl>
    <w:lvl w:ilvl="1" w:tplc="EA0ED4C0">
      <w:start w:val="1"/>
      <w:numFmt w:val="bullet"/>
      <w:lvlText w:val="•"/>
      <w:lvlJc w:val="left"/>
    </w:lvl>
    <w:lvl w:ilvl="2" w:tplc="435819C6">
      <w:start w:val="1"/>
      <w:numFmt w:val="bullet"/>
      <w:lvlText w:val="•"/>
      <w:lvlJc w:val="left"/>
    </w:lvl>
    <w:lvl w:ilvl="3" w:tplc="2932BBB4">
      <w:start w:val="1"/>
      <w:numFmt w:val="bullet"/>
      <w:lvlText w:val=""/>
      <w:lvlJc w:val="left"/>
    </w:lvl>
    <w:lvl w:ilvl="4" w:tplc="691263C6">
      <w:start w:val="1"/>
      <w:numFmt w:val="bullet"/>
      <w:lvlText w:val=""/>
      <w:lvlJc w:val="left"/>
    </w:lvl>
    <w:lvl w:ilvl="5" w:tplc="183E4950">
      <w:start w:val="1"/>
      <w:numFmt w:val="bullet"/>
      <w:lvlText w:val=""/>
      <w:lvlJc w:val="left"/>
    </w:lvl>
    <w:lvl w:ilvl="6" w:tplc="DB665882">
      <w:start w:val="1"/>
      <w:numFmt w:val="bullet"/>
      <w:lvlText w:val=""/>
      <w:lvlJc w:val="left"/>
    </w:lvl>
    <w:lvl w:ilvl="7" w:tplc="DF208980">
      <w:start w:val="1"/>
      <w:numFmt w:val="bullet"/>
      <w:lvlText w:val=""/>
      <w:lvlJc w:val="left"/>
    </w:lvl>
    <w:lvl w:ilvl="8" w:tplc="705AA47E">
      <w:start w:val="1"/>
      <w:numFmt w:val="bullet"/>
      <w:lvlText w:val=""/>
      <w:lvlJc w:val="left"/>
    </w:lvl>
  </w:abstractNum>
  <w:abstractNum w:abstractNumId="2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1A10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9DC"/>
    <w:multiLevelType w:val="hybridMultilevel"/>
    <w:tmpl w:val="C22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2A4"/>
    <w:multiLevelType w:val="hybridMultilevel"/>
    <w:tmpl w:val="1A1858FA"/>
    <w:lvl w:ilvl="0" w:tplc="AFB412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12E"/>
    <w:multiLevelType w:val="hybridMultilevel"/>
    <w:tmpl w:val="9718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A24"/>
    <w:multiLevelType w:val="multilevel"/>
    <w:tmpl w:val="B7549C9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65B261E"/>
    <w:multiLevelType w:val="hybridMultilevel"/>
    <w:tmpl w:val="8270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1857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47667D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3486"/>
    <w:multiLevelType w:val="hybridMultilevel"/>
    <w:tmpl w:val="A6E4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36B0F"/>
    <w:multiLevelType w:val="hybridMultilevel"/>
    <w:tmpl w:val="B9BC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70E41ADC"/>
    <w:multiLevelType w:val="hybridMultilevel"/>
    <w:tmpl w:val="1CCE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9EA"/>
    <w:multiLevelType w:val="hybridMultilevel"/>
    <w:tmpl w:val="A1B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04D26"/>
    <w:multiLevelType w:val="hybridMultilevel"/>
    <w:tmpl w:val="8FC0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6"/>
  </w:num>
  <w:num w:numId="18">
    <w:abstractNumId w:val="3"/>
  </w:num>
  <w:num w:numId="19">
    <w:abstractNumId w:val="20"/>
  </w:num>
  <w:num w:numId="20">
    <w:abstractNumId w:val="1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FB"/>
    <w:rsid w:val="00002B1C"/>
    <w:rsid w:val="00010D09"/>
    <w:rsid w:val="00023FB0"/>
    <w:rsid w:val="0004073A"/>
    <w:rsid w:val="000408B0"/>
    <w:rsid w:val="00055606"/>
    <w:rsid w:val="0006431A"/>
    <w:rsid w:val="00070BC6"/>
    <w:rsid w:val="0008191B"/>
    <w:rsid w:val="0008629F"/>
    <w:rsid w:val="000D6644"/>
    <w:rsid w:val="000D7452"/>
    <w:rsid w:val="000E02BB"/>
    <w:rsid w:val="00111C21"/>
    <w:rsid w:val="00134763"/>
    <w:rsid w:val="00162352"/>
    <w:rsid w:val="00193C1E"/>
    <w:rsid w:val="00194B37"/>
    <w:rsid w:val="00195CF6"/>
    <w:rsid w:val="001A2904"/>
    <w:rsid w:val="001C4A8C"/>
    <w:rsid w:val="001C6295"/>
    <w:rsid w:val="001E3CAC"/>
    <w:rsid w:val="001F0DAC"/>
    <w:rsid w:val="00217954"/>
    <w:rsid w:val="00225D60"/>
    <w:rsid w:val="002717E8"/>
    <w:rsid w:val="00271A1F"/>
    <w:rsid w:val="00290E9B"/>
    <w:rsid w:val="002A056A"/>
    <w:rsid w:val="002A7151"/>
    <w:rsid w:val="002B0269"/>
    <w:rsid w:val="002E36AA"/>
    <w:rsid w:val="002F2D92"/>
    <w:rsid w:val="00315388"/>
    <w:rsid w:val="003402B2"/>
    <w:rsid w:val="003532E8"/>
    <w:rsid w:val="00383996"/>
    <w:rsid w:val="00385660"/>
    <w:rsid w:val="00396199"/>
    <w:rsid w:val="003A0EEA"/>
    <w:rsid w:val="003A1868"/>
    <w:rsid w:val="003A49BE"/>
    <w:rsid w:val="003A6AA9"/>
    <w:rsid w:val="003B0781"/>
    <w:rsid w:val="003D6E87"/>
    <w:rsid w:val="003F1FFA"/>
    <w:rsid w:val="004015D4"/>
    <w:rsid w:val="00454495"/>
    <w:rsid w:val="00462909"/>
    <w:rsid w:val="004713B1"/>
    <w:rsid w:val="004714C1"/>
    <w:rsid w:val="00472C7C"/>
    <w:rsid w:val="00494774"/>
    <w:rsid w:val="004A0AE1"/>
    <w:rsid w:val="004A2676"/>
    <w:rsid w:val="004A4240"/>
    <w:rsid w:val="004B1117"/>
    <w:rsid w:val="004B21C8"/>
    <w:rsid w:val="004E2199"/>
    <w:rsid w:val="00502A98"/>
    <w:rsid w:val="00506A77"/>
    <w:rsid w:val="00522D39"/>
    <w:rsid w:val="00535279"/>
    <w:rsid w:val="005835D8"/>
    <w:rsid w:val="005872E8"/>
    <w:rsid w:val="0059236E"/>
    <w:rsid w:val="005C1EFE"/>
    <w:rsid w:val="005C2008"/>
    <w:rsid w:val="005D0AA0"/>
    <w:rsid w:val="00633FE7"/>
    <w:rsid w:val="0064075C"/>
    <w:rsid w:val="00663517"/>
    <w:rsid w:val="00672E0B"/>
    <w:rsid w:val="0067626A"/>
    <w:rsid w:val="00682342"/>
    <w:rsid w:val="006931F3"/>
    <w:rsid w:val="00696F79"/>
    <w:rsid w:val="006C313B"/>
    <w:rsid w:val="006C3465"/>
    <w:rsid w:val="006C39D1"/>
    <w:rsid w:val="006D06D5"/>
    <w:rsid w:val="006E5A8F"/>
    <w:rsid w:val="006F20A4"/>
    <w:rsid w:val="006F437D"/>
    <w:rsid w:val="006F5EED"/>
    <w:rsid w:val="00701DBD"/>
    <w:rsid w:val="00704A96"/>
    <w:rsid w:val="007060DE"/>
    <w:rsid w:val="007215B0"/>
    <w:rsid w:val="0073145D"/>
    <w:rsid w:val="00737579"/>
    <w:rsid w:val="00746C44"/>
    <w:rsid w:val="007703D7"/>
    <w:rsid w:val="00772807"/>
    <w:rsid w:val="00780F67"/>
    <w:rsid w:val="007C5D1F"/>
    <w:rsid w:val="007D4ADD"/>
    <w:rsid w:val="007E6886"/>
    <w:rsid w:val="00822874"/>
    <w:rsid w:val="00864D0D"/>
    <w:rsid w:val="008720B3"/>
    <w:rsid w:val="008906C6"/>
    <w:rsid w:val="008C5FAA"/>
    <w:rsid w:val="008D7A14"/>
    <w:rsid w:val="00900487"/>
    <w:rsid w:val="00926D4A"/>
    <w:rsid w:val="00940CAA"/>
    <w:rsid w:val="00941FCD"/>
    <w:rsid w:val="00943E12"/>
    <w:rsid w:val="00954289"/>
    <w:rsid w:val="00954E27"/>
    <w:rsid w:val="00955224"/>
    <w:rsid w:val="009A14A1"/>
    <w:rsid w:val="009C4C78"/>
    <w:rsid w:val="009D5359"/>
    <w:rsid w:val="00A33998"/>
    <w:rsid w:val="00A34343"/>
    <w:rsid w:val="00A716DD"/>
    <w:rsid w:val="00A92958"/>
    <w:rsid w:val="00A92E5F"/>
    <w:rsid w:val="00AA1F5A"/>
    <w:rsid w:val="00AA681B"/>
    <w:rsid w:val="00AB26AC"/>
    <w:rsid w:val="00AE7D1F"/>
    <w:rsid w:val="00AF1758"/>
    <w:rsid w:val="00B02A48"/>
    <w:rsid w:val="00B121FB"/>
    <w:rsid w:val="00B1761E"/>
    <w:rsid w:val="00B42435"/>
    <w:rsid w:val="00B73B11"/>
    <w:rsid w:val="00B77738"/>
    <w:rsid w:val="00B817A3"/>
    <w:rsid w:val="00BA7D75"/>
    <w:rsid w:val="00BC4D92"/>
    <w:rsid w:val="00BC5E6A"/>
    <w:rsid w:val="00BE39BC"/>
    <w:rsid w:val="00C1449C"/>
    <w:rsid w:val="00C4046C"/>
    <w:rsid w:val="00C44329"/>
    <w:rsid w:val="00C502BD"/>
    <w:rsid w:val="00C52214"/>
    <w:rsid w:val="00C54323"/>
    <w:rsid w:val="00C5662F"/>
    <w:rsid w:val="00C62140"/>
    <w:rsid w:val="00C6748E"/>
    <w:rsid w:val="00CC06DF"/>
    <w:rsid w:val="00CD2C81"/>
    <w:rsid w:val="00CF64DF"/>
    <w:rsid w:val="00D06053"/>
    <w:rsid w:val="00D35383"/>
    <w:rsid w:val="00D504E0"/>
    <w:rsid w:val="00D564D0"/>
    <w:rsid w:val="00D57072"/>
    <w:rsid w:val="00D6549B"/>
    <w:rsid w:val="00D73654"/>
    <w:rsid w:val="00D74F1E"/>
    <w:rsid w:val="00D75E87"/>
    <w:rsid w:val="00DA613C"/>
    <w:rsid w:val="00DB0EE7"/>
    <w:rsid w:val="00DC131A"/>
    <w:rsid w:val="00DF1458"/>
    <w:rsid w:val="00E04665"/>
    <w:rsid w:val="00E27E05"/>
    <w:rsid w:val="00E57361"/>
    <w:rsid w:val="00E82A5B"/>
    <w:rsid w:val="00E82AD2"/>
    <w:rsid w:val="00ED5EDC"/>
    <w:rsid w:val="00EF1020"/>
    <w:rsid w:val="00EF7BB6"/>
    <w:rsid w:val="00F10E0B"/>
    <w:rsid w:val="00F14968"/>
    <w:rsid w:val="00F621E5"/>
    <w:rsid w:val="00F62FCF"/>
    <w:rsid w:val="00F65381"/>
    <w:rsid w:val="00F76950"/>
    <w:rsid w:val="00FD13C7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274D4"/>
  <w15:chartTrackingRefBased/>
  <w15:docId w15:val="{D48F50CD-7B50-4AAB-9229-329C270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1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customStyle="1" w:styleId="Standard">
    <w:name w:val="Standard"/>
    <w:rsid w:val="006635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lb">
    <w:name w:val="a_lb"/>
    <w:rsid w:val="00663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0D"/>
  </w:style>
  <w:style w:type="character" w:styleId="Odwoanieprzypisukocowego">
    <w:name w:val="endnote reference"/>
    <w:uiPriority w:val="99"/>
    <w:semiHidden/>
    <w:unhideWhenUsed/>
    <w:rsid w:val="00864D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6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B11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C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C7C"/>
  </w:style>
  <w:style w:type="character" w:styleId="Odwoanieprzypisudolnego">
    <w:name w:val="footnote reference"/>
    <w:basedOn w:val="Domylnaczcionkaakapitu"/>
    <w:uiPriority w:val="99"/>
    <w:semiHidden/>
    <w:unhideWhenUsed/>
    <w:rsid w:val="0047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43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83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AF0E-697C-481A-AF72-9804279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13</cp:revision>
  <cp:lastPrinted>2021-05-29T06:04:00Z</cp:lastPrinted>
  <dcterms:created xsi:type="dcterms:W3CDTF">2021-10-31T14:52:00Z</dcterms:created>
  <dcterms:modified xsi:type="dcterms:W3CDTF">2022-01-12T12:41:00Z</dcterms:modified>
</cp:coreProperties>
</file>