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3D7E" w14:textId="14CC4BDB" w:rsidR="008235C1" w:rsidRPr="00196D5D" w:rsidRDefault="00801440" w:rsidP="00801440">
      <w:pPr>
        <w:tabs>
          <w:tab w:val="left" w:pos="4536"/>
        </w:tabs>
        <w:spacing w:line="360" w:lineRule="auto"/>
        <w:jc w:val="right"/>
        <w:rPr>
          <w:rFonts w:ascii="Arial" w:eastAsia="Times New Roman" w:hAnsi="Arial"/>
        </w:rPr>
      </w:pPr>
      <w:r w:rsidRPr="00196D5D">
        <w:rPr>
          <w:rFonts w:ascii="Arial" w:eastAsia="Times New Roman" w:hAnsi="Arial"/>
        </w:rPr>
        <w:t>………………..</w:t>
      </w:r>
      <w:r w:rsidR="00A1371A" w:rsidRPr="00196D5D">
        <w:rPr>
          <w:rFonts w:ascii="Arial" w:eastAsia="Times New Roman" w:hAnsi="Arial"/>
        </w:rPr>
        <w:t xml:space="preserve">, </w:t>
      </w:r>
      <w:r w:rsidR="006A3DF5" w:rsidRPr="00196D5D">
        <w:rPr>
          <w:rFonts w:ascii="Arial" w:eastAsia="Times New Roman" w:hAnsi="Arial"/>
        </w:rPr>
        <w:t>2024</w:t>
      </w:r>
      <w:r w:rsidR="00A1371A" w:rsidRPr="00196D5D">
        <w:rPr>
          <w:rFonts w:ascii="Arial" w:eastAsia="Times New Roman" w:hAnsi="Arial"/>
        </w:rPr>
        <w:t xml:space="preserve"> roku</w:t>
      </w:r>
    </w:p>
    <w:p w14:paraId="64D18B30" w14:textId="77777777" w:rsidR="000E3EC0" w:rsidRPr="00196D5D" w:rsidRDefault="000E3EC0" w:rsidP="00801440">
      <w:pPr>
        <w:tabs>
          <w:tab w:val="left" w:pos="4536"/>
        </w:tabs>
        <w:spacing w:line="360" w:lineRule="auto"/>
        <w:jc w:val="right"/>
        <w:rPr>
          <w:rFonts w:ascii="Arial" w:eastAsia="Times New Roman" w:hAnsi="Arial"/>
        </w:rPr>
      </w:pPr>
    </w:p>
    <w:p w14:paraId="55D5A4CD" w14:textId="7831D6D4" w:rsidR="000E3EC0" w:rsidRPr="00196D5D" w:rsidRDefault="000E3EC0" w:rsidP="00801440">
      <w:pPr>
        <w:tabs>
          <w:tab w:val="left" w:pos="4536"/>
        </w:tabs>
        <w:spacing w:line="360" w:lineRule="auto"/>
        <w:ind w:left="4536"/>
        <w:rPr>
          <w:rFonts w:ascii="Arial" w:eastAsia="Times New Roman" w:hAnsi="Arial"/>
          <w:b/>
        </w:rPr>
      </w:pPr>
      <w:r w:rsidRPr="00196D5D">
        <w:rPr>
          <w:rFonts w:ascii="Arial" w:eastAsia="Times New Roman" w:hAnsi="Arial"/>
          <w:b/>
        </w:rPr>
        <w:t xml:space="preserve">SĄD REJONOWY </w:t>
      </w:r>
      <w:r w:rsidR="00801440" w:rsidRPr="00196D5D">
        <w:rPr>
          <w:rFonts w:ascii="Arial" w:eastAsia="Times New Roman" w:hAnsi="Arial"/>
          <w:b/>
        </w:rPr>
        <w:t>…………….…..</w:t>
      </w:r>
    </w:p>
    <w:p w14:paraId="002029B0" w14:textId="6D0922C8" w:rsidR="000E3EC0" w:rsidRPr="00196D5D" w:rsidRDefault="000E3EC0" w:rsidP="00801440">
      <w:pPr>
        <w:tabs>
          <w:tab w:val="left" w:pos="4536"/>
        </w:tabs>
        <w:spacing w:line="360" w:lineRule="auto"/>
        <w:rPr>
          <w:rFonts w:ascii="Arial" w:eastAsia="Times New Roman" w:hAnsi="Arial"/>
        </w:rPr>
      </w:pPr>
      <w:r w:rsidRPr="00196D5D">
        <w:rPr>
          <w:rFonts w:ascii="Arial" w:eastAsia="Times New Roman" w:hAnsi="Arial"/>
          <w:b/>
        </w:rPr>
        <w:tab/>
        <w:t>WYDZIAŁ II KARNY</w:t>
      </w:r>
      <w:r w:rsidRPr="00196D5D">
        <w:rPr>
          <w:rFonts w:ascii="Arial" w:eastAsia="Times New Roman" w:hAnsi="Arial"/>
        </w:rPr>
        <w:br/>
      </w:r>
      <w:r w:rsidRPr="00196D5D">
        <w:rPr>
          <w:rFonts w:ascii="Arial" w:eastAsia="Times New Roman" w:hAnsi="Arial"/>
        </w:rPr>
        <w:tab/>
        <w:t xml:space="preserve">ul. </w:t>
      </w:r>
      <w:r w:rsidR="00801440" w:rsidRPr="00196D5D">
        <w:rPr>
          <w:rFonts w:ascii="Arial" w:eastAsia="Times New Roman" w:hAnsi="Arial"/>
        </w:rPr>
        <w:t>………………..</w:t>
      </w:r>
    </w:p>
    <w:p w14:paraId="6CEBF6EA" w14:textId="48E9868D" w:rsidR="000E3EC0" w:rsidRPr="00196D5D" w:rsidRDefault="000E3EC0" w:rsidP="00801440">
      <w:pPr>
        <w:tabs>
          <w:tab w:val="left" w:pos="4536"/>
        </w:tabs>
        <w:spacing w:line="360" w:lineRule="auto"/>
        <w:rPr>
          <w:rFonts w:ascii="Arial" w:eastAsia="Times New Roman" w:hAnsi="Arial"/>
        </w:rPr>
      </w:pPr>
      <w:r w:rsidRPr="00196D5D">
        <w:rPr>
          <w:rFonts w:ascii="Arial" w:eastAsia="Times New Roman" w:hAnsi="Arial"/>
        </w:rPr>
        <w:tab/>
      </w:r>
      <w:r w:rsidR="00801440" w:rsidRPr="00196D5D">
        <w:rPr>
          <w:rFonts w:ascii="Arial" w:eastAsia="Times New Roman" w:hAnsi="Arial"/>
        </w:rPr>
        <w:t>…………………...</w:t>
      </w:r>
    </w:p>
    <w:p w14:paraId="097E6CD6" w14:textId="77777777" w:rsidR="00A1371A" w:rsidRPr="00196D5D" w:rsidRDefault="00A1371A" w:rsidP="00801440">
      <w:pPr>
        <w:tabs>
          <w:tab w:val="left" w:pos="1276"/>
        </w:tabs>
        <w:spacing w:line="360" w:lineRule="auto"/>
        <w:ind w:left="1440" w:hanging="1440"/>
        <w:jc w:val="both"/>
        <w:rPr>
          <w:rFonts w:ascii="Arial" w:eastAsia="Times New Roman" w:hAnsi="Arial"/>
          <w:b/>
          <w:bCs/>
        </w:rPr>
      </w:pPr>
    </w:p>
    <w:p w14:paraId="5D16A2AC" w14:textId="29CF1D0A" w:rsidR="000E3EC0" w:rsidRPr="00196D5D" w:rsidRDefault="000E3EC0" w:rsidP="00801440">
      <w:pPr>
        <w:tabs>
          <w:tab w:val="left" w:pos="1276"/>
        </w:tabs>
        <w:spacing w:line="360" w:lineRule="auto"/>
        <w:ind w:left="1440" w:hanging="1440"/>
        <w:jc w:val="both"/>
        <w:rPr>
          <w:rFonts w:ascii="Arial" w:eastAsia="Times New Roman" w:hAnsi="Arial"/>
        </w:rPr>
      </w:pPr>
      <w:r w:rsidRPr="00196D5D">
        <w:rPr>
          <w:rFonts w:ascii="Arial" w:eastAsia="Times New Roman" w:hAnsi="Arial"/>
          <w:b/>
          <w:bCs/>
        </w:rPr>
        <w:t>Sygn. akt</w:t>
      </w:r>
      <w:r w:rsidRPr="00196D5D">
        <w:rPr>
          <w:rFonts w:ascii="Arial" w:eastAsia="Times New Roman" w:hAnsi="Arial"/>
        </w:rPr>
        <w:t>:</w:t>
      </w:r>
      <w:r w:rsidRPr="00196D5D">
        <w:rPr>
          <w:rFonts w:ascii="Arial" w:eastAsia="Times New Roman" w:hAnsi="Arial"/>
        </w:rPr>
        <w:tab/>
      </w:r>
      <w:r w:rsidRPr="00196D5D">
        <w:rPr>
          <w:rFonts w:ascii="Arial" w:eastAsia="Times New Roman" w:hAnsi="Arial"/>
        </w:rPr>
        <w:tab/>
      </w:r>
      <w:r w:rsidRPr="00196D5D">
        <w:rPr>
          <w:rFonts w:ascii="Arial" w:eastAsia="Times New Roman" w:hAnsi="Arial"/>
        </w:rPr>
        <w:tab/>
        <w:t xml:space="preserve">II K </w:t>
      </w:r>
      <w:r w:rsidR="00801440" w:rsidRPr="00196D5D">
        <w:rPr>
          <w:rFonts w:ascii="Arial" w:eastAsia="Times New Roman" w:hAnsi="Arial"/>
        </w:rPr>
        <w:t>…………………………………..</w:t>
      </w:r>
      <w:r w:rsidRPr="00196D5D">
        <w:rPr>
          <w:rFonts w:ascii="Arial" w:eastAsia="Times New Roman" w:hAnsi="Arial"/>
        </w:rPr>
        <w:t xml:space="preserve"> </w:t>
      </w:r>
    </w:p>
    <w:p w14:paraId="486B88C9" w14:textId="7AB36694" w:rsidR="000E3EC0" w:rsidRPr="00196D5D" w:rsidRDefault="00390DC7" w:rsidP="008014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0" w:lineRule="auto"/>
        <w:jc w:val="both"/>
        <w:rPr>
          <w:rFonts w:ascii="Arial" w:eastAsia="Times New Roman" w:hAnsi="Arial"/>
        </w:rPr>
      </w:pPr>
      <w:r w:rsidRPr="00196D5D">
        <w:rPr>
          <w:rFonts w:ascii="Arial" w:eastAsia="Times New Roman" w:hAnsi="Arial"/>
          <w:b/>
          <w:bCs/>
        </w:rPr>
        <w:t>Oskarżon</w:t>
      </w:r>
      <w:r w:rsidR="00801440" w:rsidRPr="00196D5D">
        <w:rPr>
          <w:rFonts w:ascii="Arial" w:eastAsia="Times New Roman" w:hAnsi="Arial"/>
          <w:b/>
          <w:bCs/>
        </w:rPr>
        <w:t>y</w:t>
      </w:r>
      <w:r w:rsidR="000E3EC0" w:rsidRPr="00196D5D">
        <w:rPr>
          <w:rFonts w:ascii="Arial" w:eastAsia="Times New Roman" w:hAnsi="Arial"/>
          <w:b/>
          <w:bCs/>
        </w:rPr>
        <w:t>:</w:t>
      </w:r>
      <w:r w:rsidR="000E3EC0" w:rsidRPr="00196D5D">
        <w:rPr>
          <w:rFonts w:ascii="Arial" w:eastAsia="Times New Roman" w:hAnsi="Arial"/>
          <w:b/>
          <w:bCs/>
        </w:rPr>
        <w:tab/>
      </w:r>
      <w:r w:rsidR="000E3EC0" w:rsidRPr="00196D5D">
        <w:rPr>
          <w:rFonts w:ascii="Arial" w:eastAsia="Times New Roman" w:hAnsi="Arial"/>
        </w:rPr>
        <w:tab/>
      </w:r>
      <w:r w:rsidR="00801440" w:rsidRPr="00196D5D">
        <w:rPr>
          <w:rFonts w:ascii="Arial" w:eastAsia="Times New Roman" w:hAnsi="Arial"/>
          <w:b/>
          <w:bCs/>
        </w:rPr>
        <w:t>…………………….</w:t>
      </w:r>
      <w:r w:rsidR="000E3EC0" w:rsidRPr="00196D5D">
        <w:rPr>
          <w:rFonts w:ascii="Arial" w:eastAsia="Times New Roman" w:hAnsi="Arial"/>
          <w:b/>
          <w:bCs/>
        </w:rPr>
        <w:t xml:space="preserve">, </w:t>
      </w:r>
      <w:r w:rsidR="000E3EC0" w:rsidRPr="00196D5D">
        <w:rPr>
          <w:rFonts w:ascii="Arial" w:eastAsia="Times New Roman" w:hAnsi="Arial"/>
        </w:rPr>
        <w:t xml:space="preserve">adres w aktach </w:t>
      </w:r>
    </w:p>
    <w:p w14:paraId="606B5ADD" w14:textId="6DB0AAF7" w:rsidR="000E3EC0" w:rsidRPr="00196D5D" w:rsidRDefault="000E3EC0" w:rsidP="008014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0" w:lineRule="auto"/>
        <w:jc w:val="both"/>
        <w:rPr>
          <w:rFonts w:ascii="Arial" w:eastAsia="Times New Roman" w:hAnsi="Arial"/>
        </w:rPr>
      </w:pPr>
      <w:r w:rsidRPr="00196D5D">
        <w:rPr>
          <w:rFonts w:ascii="Arial" w:eastAsia="Times New Roman" w:hAnsi="Arial"/>
        </w:rPr>
        <w:tab/>
      </w:r>
      <w:r w:rsidRPr="00196D5D">
        <w:rPr>
          <w:rFonts w:ascii="Arial" w:eastAsia="Times New Roman" w:hAnsi="Arial"/>
        </w:rPr>
        <w:tab/>
      </w:r>
      <w:r w:rsidRPr="00196D5D">
        <w:rPr>
          <w:rFonts w:ascii="Arial" w:eastAsia="Times New Roman" w:hAnsi="Arial"/>
        </w:rPr>
        <w:tab/>
        <w:t xml:space="preserve">występujący wraz z obrońcą </w:t>
      </w:r>
      <w:r w:rsidR="00801440" w:rsidRPr="00196D5D">
        <w:rPr>
          <w:rFonts w:ascii="Arial" w:eastAsia="Times New Roman" w:hAnsi="Arial"/>
          <w:b/>
          <w:bCs/>
        </w:rPr>
        <w:t>………………………….</w:t>
      </w:r>
    </w:p>
    <w:p w14:paraId="1189B3F1" w14:textId="2801D946" w:rsidR="000E3EC0" w:rsidRPr="00196D5D" w:rsidRDefault="000E3EC0" w:rsidP="008014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0" w:lineRule="auto"/>
        <w:jc w:val="both"/>
        <w:rPr>
          <w:rFonts w:ascii="Arial" w:eastAsia="Times New Roman" w:hAnsi="Arial"/>
        </w:rPr>
      </w:pPr>
      <w:r w:rsidRPr="00196D5D">
        <w:rPr>
          <w:rFonts w:ascii="Arial" w:eastAsia="Times New Roman" w:hAnsi="Arial"/>
        </w:rPr>
        <w:tab/>
      </w:r>
      <w:r w:rsidRPr="00196D5D">
        <w:rPr>
          <w:rFonts w:ascii="Arial" w:eastAsia="Times New Roman" w:hAnsi="Arial"/>
        </w:rPr>
        <w:tab/>
      </w:r>
      <w:r w:rsidRPr="00196D5D">
        <w:rPr>
          <w:rFonts w:ascii="Arial" w:eastAsia="Times New Roman" w:hAnsi="Arial"/>
        </w:rPr>
        <w:tab/>
        <w:t xml:space="preserve">adres do doręczeń: </w:t>
      </w:r>
      <w:r w:rsidR="00801440" w:rsidRPr="00196D5D">
        <w:rPr>
          <w:rFonts w:ascii="Arial" w:eastAsia="Times New Roman" w:hAnsi="Arial"/>
        </w:rPr>
        <w:t>……………………………………</w:t>
      </w:r>
    </w:p>
    <w:p w14:paraId="6AC8EE5A" w14:textId="77777777" w:rsidR="000E3EC0" w:rsidRPr="00196D5D" w:rsidRDefault="000E3EC0" w:rsidP="008014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0" w:lineRule="auto"/>
        <w:jc w:val="both"/>
        <w:rPr>
          <w:rFonts w:ascii="Arial" w:eastAsia="Times New Roman" w:hAnsi="Arial"/>
        </w:rPr>
      </w:pPr>
    </w:p>
    <w:p w14:paraId="233398CA" w14:textId="77777777" w:rsidR="000E3EC0" w:rsidRPr="00196D5D" w:rsidRDefault="000E3EC0" w:rsidP="00801440">
      <w:pPr>
        <w:spacing w:line="360" w:lineRule="auto"/>
        <w:jc w:val="center"/>
        <w:rPr>
          <w:rFonts w:ascii="Arial" w:eastAsia="Times New Roman" w:hAnsi="Arial"/>
          <w:b/>
        </w:rPr>
      </w:pPr>
      <w:r w:rsidRPr="00196D5D">
        <w:rPr>
          <w:rFonts w:ascii="Arial" w:eastAsia="Times New Roman" w:hAnsi="Arial"/>
          <w:b/>
        </w:rPr>
        <w:t>WNIOSEK</w:t>
      </w:r>
    </w:p>
    <w:p w14:paraId="5B054AA2" w14:textId="44A72487" w:rsidR="00A1371A" w:rsidRPr="00196D5D" w:rsidRDefault="00A1371A" w:rsidP="00801440">
      <w:pPr>
        <w:spacing w:line="360" w:lineRule="auto"/>
        <w:jc w:val="center"/>
        <w:rPr>
          <w:rFonts w:ascii="Arial" w:eastAsia="Times New Roman" w:hAnsi="Arial"/>
          <w:b/>
        </w:rPr>
      </w:pPr>
      <w:r w:rsidRPr="00196D5D">
        <w:rPr>
          <w:rFonts w:ascii="Arial" w:eastAsia="Times New Roman" w:hAnsi="Arial"/>
          <w:b/>
        </w:rPr>
        <w:t xml:space="preserve">o uzupełnienie </w:t>
      </w:r>
      <w:r w:rsidR="00292B83" w:rsidRPr="00196D5D">
        <w:rPr>
          <w:rFonts w:ascii="Arial" w:eastAsia="Times New Roman" w:hAnsi="Arial"/>
          <w:b/>
        </w:rPr>
        <w:t>wyroku</w:t>
      </w:r>
    </w:p>
    <w:p w14:paraId="1ABCF99B" w14:textId="77777777" w:rsidR="000E3EC0" w:rsidRPr="00196D5D" w:rsidRDefault="000E3EC0" w:rsidP="00801440">
      <w:pPr>
        <w:spacing w:line="360" w:lineRule="auto"/>
        <w:rPr>
          <w:rFonts w:ascii="Arial" w:eastAsia="Times New Roman" w:hAnsi="Arial"/>
          <w:b/>
        </w:rPr>
      </w:pPr>
    </w:p>
    <w:p w14:paraId="4EB7560C" w14:textId="3FF4CFCA" w:rsidR="00A1371A" w:rsidRPr="00196D5D" w:rsidRDefault="000E3EC0" w:rsidP="00801440">
      <w:pPr>
        <w:spacing w:line="360" w:lineRule="auto"/>
        <w:jc w:val="both"/>
        <w:rPr>
          <w:rFonts w:ascii="Arial" w:eastAsia="Times New Roman" w:hAnsi="Arial"/>
        </w:rPr>
      </w:pPr>
      <w:r w:rsidRPr="00196D5D">
        <w:rPr>
          <w:rFonts w:ascii="Arial" w:eastAsia="Times New Roman" w:hAnsi="Arial"/>
        </w:rPr>
        <w:t xml:space="preserve">Działając </w:t>
      </w:r>
      <w:r w:rsidR="00A1371A" w:rsidRPr="00196D5D">
        <w:rPr>
          <w:rFonts w:ascii="Arial" w:eastAsia="Times New Roman" w:hAnsi="Arial"/>
        </w:rPr>
        <w:t>imieniem własnym, w związku z pełnieniem funkcji obrońcy z urzędu dla</w:t>
      </w:r>
      <w:r w:rsidRPr="00196D5D">
        <w:rPr>
          <w:rFonts w:ascii="Arial" w:eastAsia="Times New Roman" w:hAnsi="Arial"/>
          <w:b/>
          <w:bCs/>
        </w:rPr>
        <w:t xml:space="preserve"> </w:t>
      </w:r>
      <w:r w:rsidR="00801440" w:rsidRPr="00196D5D">
        <w:rPr>
          <w:rFonts w:ascii="Arial" w:eastAsia="Times New Roman" w:hAnsi="Arial"/>
          <w:b/>
          <w:bCs/>
        </w:rPr>
        <w:t>……………………..</w:t>
      </w:r>
      <w:r w:rsidR="00A1371A" w:rsidRPr="00196D5D">
        <w:rPr>
          <w:rFonts w:ascii="Arial" w:eastAsia="Times New Roman" w:hAnsi="Arial"/>
          <w:b/>
          <w:bCs/>
        </w:rPr>
        <w:br/>
      </w:r>
      <w:r w:rsidR="00A1371A" w:rsidRPr="00196D5D">
        <w:rPr>
          <w:rFonts w:ascii="Arial" w:eastAsia="Times New Roman" w:hAnsi="Arial"/>
        </w:rPr>
        <w:t xml:space="preserve">w postępowaniu prowadzonym przez tut. Sadem pod sygnaturą II K </w:t>
      </w:r>
      <w:r w:rsidR="00801440" w:rsidRPr="00196D5D">
        <w:rPr>
          <w:rFonts w:ascii="Arial" w:eastAsia="Times New Roman" w:hAnsi="Arial"/>
        </w:rPr>
        <w:t>…………….</w:t>
      </w:r>
      <w:r w:rsidR="00A1371A" w:rsidRPr="00196D5D">
        <w:rPr>
          <w:rFonts w:ascii="Arial" w:eastAsia="Times New Roman" w:hAnsi="Arial"/>
        </w:rPr>
        <w:t>,</w:t>
      </w:r>
      <w:r w:rsidRPr="00196D5D">
        <w:rPr>
          <w:rFonts w:ascii="Arial" w:eastAsia="Times New Roman" w:hAnsi="Arial"/>
          <w:b/>
          <w:bCs/>
        </w:rPr>
        <w:t xml:space="preserve"> </w:t>
      </w:r>
      <w:r w:rsidR="00A1371A" w:rsidRPr="00196D5D">
        <w:rPr>
          <w:rFonts w:ascii="Arial" w:eastAsia="Times New Roman" w:hAnsi="Arial"/>
        </w:rPr>
        <w:t>na podstawie</w:t>
      </w:r>
      <w:r w:rsidR="00393278" w:rsidRPr="00196D5D">
        <w:rPr>
          <w:rFonts w:ascii="Arial" w:eastAsia="Times New Roman" w:hAnsi="Arial"/>
        </w:rPr>
        <w:t xml:space="preserve"> art. 190 ust. 4 Konstytucji Rzeczpospolitej Polskiej w zw. z</w:t>
      </w:r>
      <w:r w:rsidR="00A1371A" w:rsidRPr="00196D5D">
        <w:rPr>
          <w:rFonts w:ascii="Arial" w:eastAsia="Times New Roman" w:hAnsi="Arial"/>
        </w:rPr>
        <w:t xml:space="preserve"> art. 626 § 2 kodeksu postępowania karnego, </w:t>
      </w:r>
      <w:r w:rsidR="00A1371A" w:rsidRPr="00196D5D">
        <w:rPr>
          <w:rFonts w:ascii="Arial" w:eastAsia="Times New Roman" w:hAnsi="Arial"/>
          <w:b/>
          <w:bCs/>
        </w:rPr>
        <w:t xml:space="preserve">wnoszę o uzupełnienie </w:t>
      </w:r>
      <w:r w:rsidR="00292B83" w:rsidRPr="00196D5D">
        <w:rPr>
          <w:rFonts w:ascii="Arial" w:eastAsia="Times New Roman" w:hAnsi="Arial"/>
          <w:b/>
          <w:bCs/>
        </w:rPr>
        <w:t>rozstrzygnięcia o kosztach</w:t>
      </w:r>
      <w:r w:rsidR="00390DC7" w:rsidRPr="00196D5D">
        <w:rPr>
          <w:rFonts w:ascii="Arial" w:eastAsia="Times New Roman" w:hAnsi="Arial"/>
        </w:rPr>
        <w:t xml:space="preserve"> zawartego w </w:t>
      </w:r>
      <w:r w:rsidR="00771F31" w:rsidRPr="00196D5D">
        <w:rPr>
          <w:rFonts w:ascii="Arial" w:eastAsia="Times New Roman" w:hAnsi="Arial"/>
        </w:rPr>
        <w:t xml:space="preserve">pkt. </w:t>
      </w:r>
      <w:r w:rsidR="00801440" w:rsidRPr="00196D5D">
        <w:rPr>
          <w:rFonts w:ascii="Arial" w:eastAsia="Times New Roman" w:hAnsi="Arial"/>
        </w:rPr>
        <w:t>…………..</w:t>
      </w:r>
      <w:r w:rsidR="00771F31" w:rsidRPr="00196D5D">
        <w:rPr>
          <w:rFonts w:ascii="Arial" w:eastAsia="Times New Roman" w:hAnsi="Arial"/>
        </w:rPr>
        <w:t xml:space="preserve"> </w:t>
      </w:r>
      <w:r w:rsidR="00390DC7" w:rsidRPr="00196D5D">
        <w:rPr>
          <w:rFonts w:ascii="Arial" w:eastAsia="Times New Roman" w:hAnsi="Arial"/>
        </w:rPr>
        <w:t xml:space="preserve">wyroku </w:t>
      </w:r>
      <w:r w:rsidR="003D54D4" w:rsidRPr="00196D5D">
        <w:rPr>
          <w:rFonts w:ascii="Arial" w:eastAsia="Times New Roman" w:hAnsi="Arial"/>
        </w:rPr>
        <w:t xml:space="preserve">Sądu Rejonowego w </w:t>
      </w:r>
      <w:r w:rsidR="00801440" w:rsidRPr="00196D5D">
        <w:rPr>
          <w:rFonts w:ascii="Arial" w:eastAsia="Times New Roman" w:hAnsi="Arial"/>
        </w:rPr>
        <w:t>………………..</w:t>
      </w:r>
      <w:r w:rsidR="003D54D4" w:rsidRPr="00196D5D">
        <w:rPr>
          <w:rFonts w:ascii="Arial" w:eastAsia="Times New Roman" w:hAnsi="Arial"/>
        </w:rPr>
        <w:t xml:space="preserve"> Wydział II Karny </w:t>
      </w:r>
      <w:r w:rsidR="00A1371A" w:rsidRPr="00196D5D">
        <w:rPr>
          <w:rFonts w:ascii="Arial" w:eastAsia="Times New Roman" w:hAnsi="Arial"/>
        </w:rPr>
        <w:t xml:space="preserve">z dnia </w:t>
      </w:r>
      <w:r w:rsidR="00801440" w:rsidRPr="00196D5D">
        <w:rPr>
          <w:rFonts w:ascii="Arial" w:eastAsia="Times New Roman" w:hAnsi="Arial"/>
        </w:rPr>
        <w:t>……………………..</w:t>
      </w:r>
      <w:r w:rsidR="00A1371A" w:rsidRPr="00196D5D">
        <w:rPr>
          <w:rFonts w:ascii="Arial" w:eastAsia="Times New Roman" w:hAnsi="Arial"/>
        </w:rPr>
        <w:t xml:space="preserve"> roku </w:t>
      </w:r>
      <w:r w:rsidR="000B35C0" w:rsidRPr="00196D5D">
        <w:rPr>
          <w:rFonts w:ascii="Arial" w:eastAsia="Times New Roman" w:hAnsi="Arial"/>
          <w:b/>
          <w:bCs/>
        </w:rPr>
        <w:t>poprzez przyznanie</w:t>
      </w:r>
      <w:r w:rsidR="00A1371A" w:rsidRPr="00196D5D">
        <w:rPr>
          <w:rFonts w:ascii="Arial" w:eastAsia="Times New Roman" w:hAnsi="Arial"/>
          <w:b/>
          <w:bCs/>
        </w:rPr>
        <w:t xml:space="preserve"> obrońcy </w:t>
      </w:r>
      <w:r w:rsidR="00801440" w:rsidRPr="00196D5D">
        <w:rPr>
          <w:rFonts w:ascii="Arial" w:eastAsia="Times New Roman" w:hAnsi="Arial"/>
          <w:b/>
          <w:bCs/>
        </w:rPr>
        <w:t>………………..</w:t>
      </w:r>
      <w:r w:rsidR="003D10AF" w:rsidRPr="00196D5D">
        <w:rPr>
          <w:rFonts w:ascii="Arial" w:eastAsia="Times New Roman" w:hAnsi="Arial"/>
          <w:b/>
          <w:bCs/>
        </w:rPr>
        <w:t xml:space="preserve"> </w:t>
      </w:r>
      <w:r w:rsidR="000B35C0" w:rsidRPr="00196D5D">
        <w:rPr>
          <w:rFonts w:ascii="Arial" w:eastAsia="Times New Roman" w:hAnsi="Arial"/>
          <w:b/>
          <w:bCs/>
        </w:rPr>
        <w:t xml:space="preserve">od Skarbu Państwa </w:t>
      </w:r>
      <w:r w:rsidR="00A1371A" w:rsidRPr="00196D5D">
        <w:rPr>
          <w:rFonts w:ascii="Arial" w:eastAsia="Times New Roman" w:hAnsi="Arial"/>
          <w:b/>
          <w:bCs/>
        </w:rPr>
        <w:t>kosztów nieopłaconej pomocy prawnej udzielonej przez obrońcę z urzędu</w:t>
      </w:r>
      <w:r w:rsidR="003D10AF" w:rsidRPr="00196D5D">
        <w:rPr>
          <w:rFonts w:ascii="Arial" w:eastAsia="Times New Roman" w:hAnsi="Arial"/>
          <w:b/>
          <w:bCs/>
        </w:rPr>
        <w:t xml:space="preserve"> w postępowaniu przygotowawczym i postępowaniu sądowym</w:t>
      </w:r>
      <w:r w:rsidR="000B35C0" w:rsidRPr="00196D5D">
        <w:rPr>
          <w:rFonts w:ascii="Arial" w:eastAsia="Times New Roman" w:hAnsi="Arial"/>
          <w:b/>
          <w:bCs/>
        </w:rPr>
        <w:t xml:space="preserve">, </w:t>
      </w:r>
      <w:r w:rsidR="000B35C0" w:rsidRPr="00196D5D">
        <w:rPr>
          <w:rFonts w:ascii="Arial" w:eastAsia="Times New Roman" w:hAnsi="Arial"/>
        </w:rPr>
        <w:t xml:space="preserve">w dodatkowej </w:t>
      </w:r>
      <w:r w:rsidR="00A1371A" w:rsidRPr="00196D5D">
        <w:rPr>
          <w:rFonts w:ascii="Arial" w:eastAsia="Times New Roman" w:hAnsi="Arial"/>
        </w:rPr>
        <w:t xml:space="preserve">kwocie </w:t>
      </w:r>
      <w:r w:rsidR="00215100" w:rsidRPr="00196D5D">
        <w:rPr>
          <w:rFonts w:ascii="Arial" w:eastAsia="Times New Roman" w:hAnsi="Arial"/>
          <w:b/>
          <w:bCs/>
        </w:rPr>
        <w:t xml:space="preserve">720 </w:t>
      </w:r>
      <w:r w:rsidR="00A1371A" w:rsidRPr="00196D5D">
        <w:rPr>
          <w:rFonts w:ascii="Arial" w:eastAsia="Times New Roman" w:hAnsi="Arial"/>
          <w:b/>
          <w:bCs/>
        </w:rPr>
        <w:t xml:space="preserve">zł + VAT </w:t>
      </w:r>
      <w:r w:rsidR="00A1371A" w:rsidRPr="00196D5D">
        <w:rPr>
          <w:rFonts w:ascii="Arial" w:eastAsia="Times New Roman" w:hAnsi="Arial"/>
        </w:rPr>
        <w:t>(</w:t>
      </w:r>
      <w:r w:rsidR="00390DC7" w:rsidRPr="00196D5D">
        <w:rPr>
          <w:rFonts w:ascii="Arial" w:eastAsia="Times New Roman" w:hAnsi="Arial"/>
        </w:rPr>
        <w:t>1</w:t>
      </w:r>
      <w:r w:rsidR="00215100" w:rsidRPr="00196D5D">
        <w:rPr>
          <w:rFonts w:ascii="Arial" w:eastAsia="Times New Roman" w:hAnsi="Arial"/>
        </w:rPr>
        <w:t>65,60</w:t>
      </w:r>
      <w:r w:rsidR="00A1371A" w:rsidRPr="00196D5D">
        <w:rPr>
          <w:rFonts w:ascii="Arial" w:eastAsia="Times New Roman" w:hAnsi="Arial"/>
        </w:rPr>
        <w:t xml:space="preserve"> zł)</w:t>
      </w:r>
      <w:r w:rsidR="00A1371A" w:rsidRPr="00196D5D">
        <w:rPr>
          <w:rFonts w:ascii="Arial" w:eastAsia="Times New Roman" w:hAnsi="Arial"/>
          <w:b/>
          <w:bCs/>
        </w:rPr>
        <w:t xml:space="preserve"> </w:t>
      </w:r>
      <w:r w:rsidR="00A1371A" w:rsidRPr="00196D5D">
        <w:rPr>
          <w:rFonts w:ascii="Arial" w:eastAsia="Times New Roman" w:hAnsi="Arial"/>
        </w:rPr>
        <w:t>tj.</w:t>
      </w:r>
      <w:r w:rsidR="00215100" w:rsidRPr="00196D5D">
        <w:rPr>
          <w:rFonts w:ascii="Arial" w:eastAsia="Times New Roman" w:hAnsi="Arial"/>
        </w:rPr>
        <w:t xml:space="preserve"> </w:t>
      </w:r>
      <w:r w:rsidR="00215100" w:rsidRPr="00196D5D">
        <w:rPr>
          <w:rFonts w:ascii="Arial" w:eastAsia="Times New Roman" w:hAnsi="Arial"/>
          <w:b/>
          <w:bCs/>
        </w:rPr>
        <w:t>885,60</w:t>
      </w:r>
      <w:r w:rsidR="00390DC7" w:rsidRPr="00196D5D">
        <w:rPr>
          <w:rFonts w:ascii="Arial" w:eastAsia="Times New Roman" w:hAnsi="Arial"/>
          <w:b/>
          <w:bCs/>
        </w:rPr>
        <w:t xml:space="preserve"> zł</w:t>
      </w:r>
      <w:r w:rsidR="00801440" w:rsidRPr="00196D5D">
        <w:rPr>
          <w:rFonts w:ascii="Arial" w:eastAsia="Times New Roman" w:hAnsi="Arial"/>
          <w:b/>
          <w:bCs/>
        </w:rPr>
        <w:t xml:space="preserve">. </w:t>
      </w:r>
      <w:r w:rsidR="00801440" w:rsidRPr="00196D5D">
        <w:rPr>
          <w:rFonts w:ascii="Arial" w:eastAsia="Times New Roman" w:hAnsi="Arial"/>
        </w:rPr>
        <w:t xml:space="preserve">Jednocześnie oświadczam, że koszty te nie zostały przez reprezentowanego uiszczone w całości ani w części. </w:t>
      </w:r>
    </w:p>
    <w:p w14:paraId="5249DCCE" w14:textId="76A8A173" w:rsidR="000B35C0" w:rsidRPr="00196D5D" w:rsidRDefault="000B35C0" w:rsidP="00801440">
      <w:pPr>
        <w:spacing w:line="360" w:lineRule="auto"/>
        <w:jc w:val="both"/>
        <w:rPr>
          <w:rFonts w:ascii="Arial" w:eastAsia="Times New Roman" w:hAnsi="Arial"/>
          <w:b/>
          <w:bCs/>
        </w:rPr>
      </w:pPr>
    </w:p>
    <w:p w14:paraId="483F9D8F" w14:textId="6D9236FE" w:rsidR="0076772F" w:rsidRPr="00196D5D" w:rsidRDefault="00C14BAB" w:rsidP="00801440">
      <w:pPr>
        <w:spacing w:line="360" w:lineRule="auto"/>
        <w:jc w:val="both"/>
        <w:rPr>
          <w:rFonts w:ascii="Arial" w:eastAsia="Times New Roman" w:hAnsi="Arial"/>
        </w:rPr>
      </w:pPr>
      <w:r w:rsidRPr="00196D5D">
        <w:rPr>
          <w:rFonts w:ascii="Arial" w:eastAsia="Times New Roman" w:hAnsi="Arial"/>
        </w:rPr>
        <w:t>W dniu</w:t>
      </w:r>
      <w:r w:rsidR="00A1371A" w:rsidRPr="00196D5D">
        <w:rPr>
          <w:rFonts w:ascii="Arial" w:eastAsia="Times New Roman" w:hAnsi="Arial"/>
        </w:rPr>
        <w:t xml:space="preserve"> </w:t>
      </w:r>
      <w:r w:rsidR="004469E9" w:rsidRPr="00196D5D">
        <w:rPr>
          <w:rFonts w:ascii="Arial" w:eastAsia="Times New Roman" w:hAnsi="Arial"/>
        </w:rPr>
        <w:t>27 lutego 2024</w:t>
      </w:r>
      <w:r w:rsidR="00A1371A" w:rsidRPr="00196D5D">
        <w:rPr>
          <w:rFonts w:ascii="Arial" w:eastAsia="Times New Roman" w:hAnsi="Arial"/>
        </w:rPr>
        <w:t xml:space="preserve"> roku (SK </w:t>
      </w:r>
      <w:r w:rsidR="004469E9" w:rsidRPr="00196D5D">
        <w:rPr>
          <w:rFonts w:ascii="Arial" w:eastAsia="Times New Roman" w:hAnsi="Arial"/>
        </w:rPr>
        <w:t>90</w:t>
      </w:r>
      <w:r w:rsidR="00A1371A" w:rsidRPr="00196D5D">
        <w:rPr>
          <w:rFonts w:ascii="Arial" w:eastAsia="Times New Roman" w:hAnsi="Arial"/>
        </w:rPr>
        <w:t>/2</w:t>
      </w:r>
      <w:r w:rsidR="004469E9" w:rsidRPr="00196D5D">
        <w:rPr>
          <w:rFonts w:ascii="Arial" w:eastAsia="Times New Roman" w:hAnsi="Arial"/>
        </w:rPr>
        <w:t>2</w:t>
      </w:r>
      <w:r w:rsidR="00A1371A" w:rsidRPr="00196D5D">
        <w:rPr>
          <w:rFonts w:ascii="Arial" w:eastAsia="Times New Roman" w:hAnsi="Arial"/>
        </w:rPr>
        <w:t>)</w:t>
      </w:r>
      <w:r w:rsidRPr="00196D5D">
        <w:rPr>
          <w:rFonts w:ascii="Arial" w:eastAsia="Times New Roman" w:hAnsi="Arial"/>
        </w:rPr>
        <w:t xml:space="preserve"> Trybunał Konstytucyjny uznał</w:t>
      </w:r>
      <w:r w:rsidR="00A1371A" w:rsidRPr="00196D5D">
        <w:rPr>
          <w:rFonts w:ascii="Arial" w:eastAsia="Times New Roman" w:hAnsi="Arial"/>
        </w:rPr>
        <w:t xml:space="preserve">, że </w:t>
      </w:r>
      <w:r w:rsidR="004469E9" w:rsidRPr="00196D5D">
        <w:rPr>
          <w:rFonts w:ascii="Arial" w:eastAsia="Times New Roman" w:hAnsi="Arial"/>
          <w:b/>
          <w:bCs/>
        </w:rPr>
        <w:t>§ 2 pkt 1 w związku z § 4 ust. 1 rozporządzenia Ministra Sprawiedliwości z dnia 3 października 2016 r. w sprawie ponoszenia przez Skarb Państwa kosztów nieopłaconej pomocy prawnej udzielonej przez adwokata z urzędu</w:t>
      </w:r>
      <w:r w:rsidR="004469E9" w:rsidRPr="00196D5D">
        <w:rPr>
          <w:rFonts w:ascii="Arial" w:eastAsia="Times New Roman" w:hAnsi="Arial"/>
        </w:rPr>
        <w:t xml:space="preserve"> (Dz. U. z 2023 r. poz. 2631) </w:t>
      </w:r>
      <w:r w:rsidR="004469E9" w:rsidRPr="00196D5D">
        <w:rPr>
          <w:rFonts w:ascii="Arial" w:eastAsia="Times New Roman" w:hAnsi="Arial"/>
          <w:b/>
          <w:bCs/>
        </w:rPr>
        <w:t>w zakresie, w jakim określa opłaty stanowiące ponoszone przez Skarb Państwa koszty nieopłaconej pomocy prawnej udzielonej przez adwokata z urzędu w wysokości niższej niż stawki minimalne opłat określonych w rozporządzeniu Ministra Sprawiedliwości z dnia 22 października 2015 r. w sprawie opłat za czynności adwokackie</w:t>
      </w:r>
      <w:r w:rsidR="004469E9" w:rsidRPr="00196D5D">
        <w:rPr>
          <w:rFonts w:ascii="Arial" w:eastAsia="Times New Roman" w:hAnsi="Arial"/>
        </w:rPr>
        <w:t xml:space="preserve"> (Dz. U. z 2023 r. poz. 1964, ze zm.), jest niezgodny z art. 64 ust. 2 w związku z art. 31 ust. 3, art. 32 ust. 1 zdanie drugie i art. 92 ust. 1 zdanie pierwsze Konstytucji Rzeczypospolitej Polskiej</w:t>
      </w:r>
      <w:r w:rsidR="004469E9" w:rsidRPr="00196D5D">
        <w:rPr>
          <w:rFonts w:ascii="Arial" w:eastAsia="Times New Roman" w:hAnsi="Arial"/>
          <w:b/>
          <w:bCs/>
        </w:rPr>
        <w:t>.</w:t>
      </w:r>
    </w:p>
    <w:p w14:paraId="50720136" w14:textId="77777777" w:rsidR="004469E9" w:rsidRPr="00196D5D" w:rsidRDefault="004469E9" w:rsidP="00801440">
      <w:pPr>
        <w:spacing w:line="360" w:lineRule="auto"/>
        <w:jc w:val="both"/>
        <w:rPr>
          <w:rFonts w:ascii="Arial" w:eastAsia="Times New Roman" w:hAnsi="Arial"/>
        </w:rPr>
      </w:pPr>
    </w:p>
    <w:p w14:paraId="2675DC4B" w14:textId="2A7AEBF8" w:rsidR="0076772F" w:rsidRPr="00196D5D" w:rsidRDefault="0076772F" w:rsidP="00801440">
      <w:pPr>
        <w:spacing w:line="360" w:lineRule="auto"/>
        <w:jc w:val="both"/>
        <w:rPr>
          <w:rFonts w:ascii="Arial" w:eastAsia="Times New Roman" w:hAnsi="Arial"/>
        </w:rPr>
      </w:pPr>
      <w:r w:rsidRPr="00196D5D">
        <w:rPr>
          <w:rFonts w:ascii="Arial" w:eastAsia="Times New Roman" w:hAnsi="Arial"/>
        </w:rPr>
        <w:t xml:space="preserve">Podstawą </w:t>
      </w:r>
      <w:r w:rsidR="00292B83" w:rsidRPr="00196D5D">
        <w:rPr>
          <w:rFonts w:ascii="Arial" w:eastAsia="Times New Roman" w:hAnsi="Arial"/>
        </w:rPr>
        <w:t>rozstrzygnięcia</w:t>
      </w:r>
      <w:r w:rsidRPr="00196D5D">
        <w:rPr>
          <w:rFonts w:ascii="Arial" w:eastAsia="Times New Roman" w:hAnsi="Arial"/>
        </w:rPr>
        <w:t xml:space="preserve"> o kosztach w </w:t>
      </w:r>
      <w:r w:rsidR="00CD0F7A" w:rsidRPr="00196D5D">
        <w:rPr>
          <w:rFonts w:ascii="Arial" w:eastAsia="Times New Roman" w:hAnsi="Arial"/>
        </w:rPr>
        <w:t>wyroku</w:t>
      </w:r>
      <w:r w:rsidRPr="00196D5D">
        <w:rPr>
          <w:rFonts w:ascii="Arial" w:eastAsia="Times New Roman" w:hAnsi="Arial"/>
        </w:rPr>
        <w:t xml:space="preserve"> Sądu Rejonowego </w:t>
      </w:r>
      <w:r w:rsidR="00801440" w:rsidRPr="00196D5D">
        <w:rPr>
          <w:rFonts w:ascii="Arial" w:eastAsia="Times New Roman" w:hAnsi="Arial"/>
        </w:rPr>
        <w:t>……………….</w:t>
      </w:r>
      <w:r w:rsidRPr="00196D5D">
        <w:rPr>
          <w:rFonts w:ascii="Arial" w:eastAsia="Times New Roman" w:hAnsi="Arial"/>
        </w:rPr>
        <w:t xml:space="preserve"> Wydział II Karny </w:t>
      </w:r>
      <w:r w:rsidRPr="00196D5D">
        <w:rPr>
          <w:rFonts w:ascii="Arial" w:eastAsia="Times New Roman" w:hAnsi="Arial"/>
        </w:rPr>
        <w:br/>
        <w:t xml:space="preserve">z dnia </w:t>
      </w:r>
      <w:r w:rsidR="00801440" w:rsidRPr="00196D5D">
        <w:rPr>
          <w:rFonts w:ascii="Arial" w:eastAsia="Times New Roman" w:hAnsi="Arial"/>
        </w:rPr>
        <w:t>………………</w:t>
      </w:r>
      <w:r w:rsidR="00390DC7" w:rsidRPr="00196D5D">
        <w:rPr>
          <w:rFonts w:ascii="Arial" w:eastAsia="Times New Roman" w:hAnsi="Arial"/>
        </w:rPr>
        <w:t xml:space="preserve"> </w:t>
      </w:r>
      <w:r w:rsidRPr="00196D5D">
        <w:rPr>
          <w:rFonts w:ascii="Arial" w:eastAsia="Times New Roman" w:hAnsi="Arial"/>
        </w:rPr>
        <w:t xml:space="preserve"> roku był </w:t>
      </w:r>
      <w:r w:rsidR="00390DC7" w:rsidRPr="00196D5D">
        <w:rPr>
          <w:rFonts w:ascii="Arial" w:eastAsia="Times New Roman" w:hAnsi="Arial"/>
        </w:rPr>
        <w:t xml:space="preserve">zarówno §17 ust. 1 pkt. 2, jak też </w:t>
      </w:r>
      <w:r w:rsidRPr="00196D5D">
        <w:rPr>
          <w:rFonts w:ascii="Arial" w:eastAsia="Times New Roman" w:hAnsi="Arial"/>
        </w:rPr>
        <w:t xml:space="preserve">§ 17 ust. 2 pkt 3 rozporządzenia Ministra Sprawiedliwości z dnia 3 października 2016 r. w sprawie ponoszenia przez Skarb Państwa kosztów nieopłaconej pomocy prawnej udzielonej przez adwokata z urzędu (Dz. U. z 2019 r. poz. 18, ze zm.). Wynagrodzenie obrońcy zostało podwyższone o podatek VAT w kwocie 23% na bazie § 4 ust. 3 </w:t>
      </w:r>
      <w:r w:rsidRPr="00196D5D">
        <w:rPr>
          <w:rFonts w:ascii="Arial" w:eastAsia="Times New Roman" w:hAnsi="Arial"/>
        </w:rPr>
        <w:lastRenderedPageBreak/>
        <w:t xml:space="preserve">rozporządzenia. W ten sposób, jako podstawę wynagrodzenia obrońcy przyjęto kwotę </w:t>
      </w:r>
      <w:r w:rsidR="00215100" w:rsidRPr="00196D5D">
        <w:rPr>
          <w:rFonts w:ascii="Arial" w:eastAsia="Times New Roman" w:hAnsi="Arial"/>
          <w:b/>
          <w:bCs/>
        </w:rPr>
        <w:t>885,60</w:t>
      </w:r>
      <w:r w:rsidR="00390DC7" w:rsidRPr="00196D5D">
        <w:rPr>
          <w:rFonts w:ascii="Arial" w:eastAsia="Times New Roman" w:hAnsi="Arial"/>
          <w:b/>
          <w:bCs/>
        </w:rPr>
        <w:t xml:space="preserve"> </w:t>
      </w:r>
      <w:r w:rsidRPr="00196D5D">
        <w:rPr>
          <w:rFonts w:ascii="Arial" w:eastAsia="Times New Roman" w:hAnsi="Arial"/>
          <w:b/>
          <w:bCs/>
        </w:rPr>
        <w:t>z</w:t>
      </w:r>
      <w:r w:rsidRPr="00196D5D">
        <w:rPr>
          <w:rFonts w:ascii="Arial" w:eastAsia="Times New Roman" w:hAnsi="Arial"/>
        </w:rPr>
        <w:t xml:space="preserve">ł </w:t>
      </w:r>
      <w:r w:rsidR="00196D5D">
        <w:rPr>
          <w:rFonts w:ascii="Arial" w:eastAsia="Times New Roman" w:hAnsi="Arial"/>
        </w:rPr>
        <w:br/>
      </w:r>
      <w:r w:rsidRPr="00196D5D">
        <w:rPr>
          <w:rFonts w:ascii="Arial" w:eastAsia="Times New Roman" w:hAnsi="Arial"/>
        </w:rPr>
        <w:t xml:space="preserve">(420 zł stawki bazowej </w:t>
      </w:r>
      <w:r w:rsidR="00390DC7" w:rsidRPr="00196D5D">
        <w:rPr>
          <w:rFonts w:ascii="Arial" w:eastAsia="Times New Roman" w:hAnsi="Arial"/>
        </w:rPr>
        <w:t xml:space="preserve">za postępowanie sądowe + </w:t>
      </w:r>
      <w:r w:rsidR="00215100" w:rsidRPr="00196D5D">
        <w:rPr>
          <w:rFonts w:ascii="Arial" w:eastAsia="Times New Roman" w:hAnsi="Arial"/>
        </w:rPr>
        <w:t>300</w:t>
      </w:r>
      <w:r w:rsidR="00390DC7" w:rsidRPr="00196D5D">
        <w:rPr>
          <w:rFonts w:ascii="Arial" w:eastAsia="Times New Roman" w:hAnsi="Arial"/>
        </w:rPr>
        <w:t xml:space="preserve"> stawki bazowej za postępowanie przygotowawcze</w:t>
      </w:r>
      <w:r w:rsidRPr="00196D5D">
        <w:rPr>
          <w:rFonts w:ascii="Arial" w:eastAsia="Times New Roman" w:hAnsi="Arial"/>
        </w:rPr>
        <w:t xml:space="preserve"> + VAT) w oparciu o w/w powołane przepisy rozporządzenia Ministra Sprawiedliwości z dnia 3 października 2016 r.</w:t>
      </w:r>
    </w:p>
    <w:p w14:paraId="0BF6DB94" w14:textId="18527B7C" w:rsidR="000B35C0" w:rsidRPr="00196D5D" w:rsidRDefault="000B35C0" w:rsidP="00801440">
      <w:pPr>
        <w:spacing w:line="360" w:lineRule="auto"/>
        <w:jc w:val="both"/>
        <w:rPr>
          <w:rFonts w:ascii="Arial" w:eastAsia="Times New Roman" w:hAnsi="Arial"/>
        </w:rPr>
      </w:pPr>
    </w:p>
    <w:p w14:paraId="2F57F8CC" w14:textId="559B1DE5" w:rsidR="000B35C0" w:rsidRPr="00196D5D" w:rsidRDefault="000B35C0" w:rsidP="00801440">
      <w:pPr>
        <w:spacing w:line="360" w:lineRule="auto"/>
        <w:jc w:val="both"/>
        <w:rPr>
          <w:rFonts w:ascii="Arial" w:eastAsia="Times New Roman" w:hAnsi="Arial"/>
          <w:i/>
          <w:iCs/>
        </w:rPr>
      </w:pPr>
      <w:r w:rsidRPr="00196D5D">
        <w:rPr>
          <w:rFonts w:ascii="Arial" w:eastAsia="Times New Roman" w:hAnsi="Arial"/>
        </w:rPr>
        <w:t>Jak stanowi art. 540 §2 kodeksu postępowania karnego, postępowanie wznawia się na korzyść strony, jeżeli Trybunał Konstytucyjny orzekł o niezgodnoś</w:t>
      </w:r>
      <w:r w:rsidR="0037020E" w:rsidRPr="00196D5D">
        <w:rPr>
          <w:rFonts w:ascii="Arial" w:eastAsia="Times New Roman" w:hAnsi="Arial"/>
        </w:rPr>
        <w:t>ci</w:t>
      </w:r>
      <w:r w:rsidRPr="00196D5D">
        <w:rPr>
          <w:rFonts w:ascii="Arial" w:eastAsia="Times New Roman" w:hAnsi="Arial"/>
        </w:rPr>
        <w:t xml:space="preserve"> z Konstytucją, ratyfikowaną umową międzynarodową lub z ustawą przepisu prawnego, na podstawie którego zostało wydane orzeczenie. Jednocześnie zgodnie z orzeczeniem Sądu Najwyższego z dnia 15 grudnia 2022 roku (sygn. akt. V KZ 57/20) </w:t>
      </w:r>
      <w:r w:rsidR="00C14BAB" w:rsidRPr="00196D5D">
        <w:rPr>
          <w:rFonts w:ascii="Arial" w:eastAsia="Times New Roman" w:hAnsi="Arial"/>
        </w:rPr>
        <w:t xml:space="preserve">w sytuacji gdy możliwe jest </w:t>
      </w:r>
      <w:r w:rsidR="00B334F5" w:rsidRPr="00196D5D">
        <w:rPr>
          <w:rFonts w:ascii="Arial" w:eastAsia="Times New Roman" w:hAnsi="Arial"/>
        </w:rPr>
        <w:t>naprawienie uchybień w zwykłym</w:t>
      </w:r>
      <w:r w:rsidR="00563790" w:rsidRPr="00196D5D">
        <w:rPr>
          <w:rFonts w:ascii="Arial" w:eastAsia="Times New Roman" w:hAnsi="Arial"/>
        </w:rPr>
        <w:t xml:space="preserve"> w</w:t>
      </w:r>
      <w:r w:rsidR="00C14BAB" w:rsidRPr="00196D5D">
        <w:rPr>
          <w:rFonts w:ascii="Arial" w:eastAsia="Times New Roman" w:hAnsi="Arial"/>
        </w:rPr>
        <w:t xml:space="preserve"> toku postępowania, nie ma potrzeby sięgania po nadzwyczajny środek zaskarżenia „</w:t>
      </w:r>
      <w:r w:rsidR="00C14BAB" w:rsidRPr="00196D5D">
        <w:rPr>
          <w:rFonts w:ascii="Arial" w:eastAsia="Times New Roman" w:hAnsi="Arial"/>
          <w:i/>
          <w:iCs/>
        </w:rPr>
        <w:t xml:space="preserve">powyższa konkluzja nie oznacza jednak, że w każdym przypadku wadliwego, albowiem opartego na przepisie uznanym za niekonstytucyjny, rozstrzygnięcia o kosztach procesu w sprawie karnej, uzasadnione jest sięganie po nadzwyczajny środek zaskarżenia, jakim jest wznowienie postępowania. Rolą tej instytucji jest bowiem konwalidacja uchybień, które nie mogą zostać naprawione w zwykłym toku postępowania”. </w:t>
      </w:r>
      <w:r w:rsidR="00C14BAB" w:rsidRPr="00196D5D">
        <w:rPr>
          <w:rFonts w:ascii="Arial" w:eastAsia="Times New Roman" w:hAnsi="Arial"/>
        </w:rPr>
        <w:t>Bazując na powyższej argumentacji, właściwym w określonym stanie faktycznym, jest wniosek o uzupełnienie wyroku w trybie art. 626 §2 kodeksu postępowania karnego. Jak wynika z uzasadnienia przywołanego orzeczenia „</w:t>
      </w:r>
      <w:r w:rsidR="00C14BAB" w:rsidRPr="00196D5D">
        <w:rPr>
          <w:rFonts w:ascii="Arial" w:eastAsia="Times New Roman" w:hAnsi="Arial"/>
          <w:i/>
          <w:iCs/>
        </w:rPr>
        <w:t xml:space="preserve">ten tryb procedowania znajduje bowiem zastosowanie także w sytuacji, kiedy zasądzono obrońcy wynagrodzeni, lecz nie w pełnej wysokości (D. Świecki, Czynności procesowe obrońcy i pełnomocnika w sprawach karnych, Warszawa 2015, s. 290-291). </w:t>
      </w:r>
      <w:r w:rsidR="003D10AF" w:rsidRPr="00196D5D">
        <w:rPr>
          <w:rFonts w:ascii="Arial" w:eastAsia="Times New Roman" w:hAnsi="Arial"/>
        </w:rPr>
        <w:t>Sąd Najwyższy wydał w/w postanowienie w stanie faktycznym odpowiadającym niniejszej sprawie.</w:t>
      </w:r>
    </w:p>
    <w:p w14:paraId="628BE5A3" w14:textId="2BF58C5C" w:rsidR="00C14BAB" w:rsidRPr="00196D5D" w:rsidRDefault="00C14BAB" w:rsidP="00801440">
      <w:pPr>
        <w:spacing w:line="360" w:lineRule="auto"/>
        <w:jc w:val="both"/>
        <w:rPr>
          <w:rFonts w:ascii="Arial" w:eastAsia="Times New Roman" w:hAnsi="Arial"/>
          <w:i/>
          <w:iCs/>
        </w:rPr>
      </w:pPr>
    </w:p>
    <w:p w14:paraId="0B94142F" w14:textId="3AD6B874" w:rsidR="00801440" w:rsidRPr="00196D5D" w:rsidRDefault="00C14BAB" w:rsidP="00801440">
      <w:pPr>
        <w:spacing w:line="360" w:lineRule="auto"/>
        <w:jc w:val="both"/>
        <w:rPr>
          <w:rFonts w:ascii="Arial" w:eastAsia="Times New Roman" w:hAnsi="Arial"/>
        </w:rPr>
      </w:pPr>
      <w:r w:rsidRPr="00196D5D">
        <w:rPr>
          <w:rFonts w:ascii="Arial" w:eastAsia="Times New Roman" w:hAnsi="Arial"/>
        </w:rPr>
        <w:t>Mając na uwadze powyższe,</w:t>
      </w:r>
      <w:r w:rsidR="00B334F5" w:rsidRPr="00196D5D">
        <w:rPr>
          <w:rFonts w:ascii="Arial" w:eastAsia="Times New Roman" w:hAnsi="Arial"/>
        </w:rPr>
        <w:t xml:space="preserve"> </w:t>
      </w:r>
      <w:r w:rsidR="003D10AF" w:rsidRPr="00196D5D">
        <w:rPr>
          <w:rFonts w:ascii="Arial" w:eastAsia="Times New Roman" w:hAnsi="Arial"/>
        </w:rPr>
        <w:t xml:space="preserve">wobec eliminacji z systemu prawnego normy § 17 ust. </w:t>
      </w:r>
      <w:r w:rsidR="000F1951" w:rsidRPr="00196D5D">
        <w:rPr>
          <w:rFonts w:ascii="Arial" w:eastAsia="Times New Roman" w:hAnsi="Arial"/>
        </w:rPr>
        <w:t>1 pkt. 2 oraz</w:t>
      </w:r>
      <w:r w:rsidR="003D10AF" w:rsidRPr="00196D5D">
        <w:rPr>
          <w:rFonts w:ascii="Arial" w:eastAsia="Times New Roman" w:hAnsi="Arial"/>
        </w:rPr>
        <w:t xml:space="preserve"> </w:t>
      </w:r>
      <w:r w:rsidR="000F1951" w:rsidRPr="00196D5D">
        <w:rPr>
          <w:rFonts w:ascii="Arial" w:eastAsia="Times New Roman" w:hAnsi="Arial"/>
        </w:rPr>
        <w:t xml:space="preserve">§ 17 </w:t>
      </w:r>
      <w:r w:rsidR="000F1951" w:rsidRPr="00196D5D">
        <w:rPr>
          <w:rFonts w:ascii="Arial" w:eastAsia="Times New Roman" w:hAnsi="Arial"/>
        </w:rPr>
        <w:br/>
        <w:t xml:space="preserve">ust. 2 </w:t>
      </w:r>
      <w:r w:rsidR="003D10AF" w:rsidRPr="00196D5D">
        <w:rPr>
          <w:rFonts w:ascii="Arial" w:eastAsia="Times New Roman" w:hAnsi="Arial"/>
        </w:rPr>
        <w:t xml:space="preserve">pkt 3 rozporządzenia Ministra Sprawiedliwości z dnia 3 października 2016 roku w sprawie ponoszenia przez SP kosztów nieopłaconej pomocy prawnej udzielonej przez adwokata z urzędu, </w:t>
      </w:r>
      <w:r w:rsidR="00B334F5" w:rsidRPr="00196D5D">
        <w:rPr>
          <w:rFonts w:ascii="Arial" w:eastAsia="Times New Roman" w:hAnsi="Arial"/>
        </w:rPr>
        <w:t>wyżej wymienion</w:t>
      </w:r>
      <w:r w:rsidR="004376C3" w:rsidRPr="00196D5D">
        <w:rPr>
          <w:rFonts w:ascii="Arial" w:eastAsia="Times New Roman" w:hAnsi="Arial"/>
        </w:rPr>
        <w:t>y</w:t>
      </w:r>
      <w:r w:rsidR="00B334F5" w:rsidRPr="00196D5D">
        <w:rPr>
          <w:rFonts w:ascii="Arial" w:eastAsia="Times New Roman" w:hAnsi="Arial"/>
        </w:rPr>
        <w:t xml:space="preserve"> </w:t>
      </w:r>
      <w:r w:rsidR="004376C3" w:rsidRPr="00196D5D">
        <w:rPr>
          <w:rFonts w:ascii="Arial" w:eastAsia="Times New Roman" w:hAnsi="Arial"/>
        </w:rPr>
        <w:t>wyrok</w:t>
      </w:r>
      <w:r w:rsidR="00B334F5" w:rsidRPr="00196D5D">
        <w:rPr>
          <w:rFonts w:ascii="Arial" w:eastAsia="Times New Roman" w:hAnsi="Arial"/>
        </w:rPr>
        <w:t xml:space="preserve"> Sadu Rejonowego powinno zostać uzupełnion</w:t>
      </w:r>
      <w:r w:rsidR="004376C3" w:rsidRPr="00196D5D">
        <w:rPr>
          <w:rFonts w:ascii="Arial" w:eastAsia="Times New Roman" w:hAnsi="Arial"/>
        </w:rPr>
        <w:t>y</w:t>
      </w:r>
      <w:r w:rsidR="00B334F5" w:rsidRPr="00196D5D">
        <w:rPr>
          <w:rFonts w:ascii="Arial" w:eastAsia="Times New Roman" w:hAnsi="Arial"/>
        </w:rPr>
        <w:t>, natomiast</w:t>
      </w:r>
      <w:r w:rsidRPr="00196D5D">
        <w:rPr>
          <w:rFonts w:ascii="Arial" w:eastAsia="Times New Roman" w:hAnsi="Arial"/>
        </w:rPr>
        <w:t xml:space="preserve"> </w:t>
      </w:r>
      <w:r w:rsidR="007868D6" w:rsidRPr="00196D5D">
        <w:rPr>
          <w:rFonts w:ascii="Arial" w:eastAsia="Times New Roman" w:hAnsi="Arial"/>
        </w:rPr>
        <w:t xml:space="preserve">podstawę wynagrodzenia obrońcy powinien stanowić przepis §11 ust. </w:t>
      </w:r>
      <w:r w:rsidR="00390DC7" w:rsidRPr="00196D5D">
        <w:rPr>
          <w:rFonts w:ascii="Arial" w:eastAsia="Times New Roman" w:hAnsi="Arial"/>
        </w:rPr>
        <w:t xml:space="preserve">1 pkt. 2 oraz §11 ust. </w:t>
      </w:r>
      <w:r w:rsidR="007868D6" w:rsidRPr="00196D5D">
        <w:rPr>
          <w:rFonts w:ascii="Arial" w:eastAsia="Times New Roman" w:hAnsi="Arial"/>
        </w:rPr>
        <w:t>2 pkt. 3 rozporządzenia Ministra Sprawiedliwości z dnia 22 października 2015 roku w sprawie opłat za czynności adwokackie tj.</w:t>
      </w:r>
      <w:r w:rsidR="00390DC7" w:rsidRPr="00196D5D">
        <w:rPr>
          <w:rFonts w:ascii="Arial" w:eastAsia="Times New Roman" w:hAnsi="Arial"/>
        </w:rPr>
        <w:t xml:space="preserve"> kwota 840 zł za postępowanie sądowe oraz kwota </w:t>
      </w:r>
      <w:r w:rsidR="00215100" w:rsidRPr="00196D5D">
        <w:rPr>
          <w:rFonts w:ascii="Arial" w:eastAsia="Times New Roman" w:hAnsi="Arial"/>
        </w:rPr>
        <w:t>600</w:t>
      </w:r>
      <w:r w:rsidR="00390DC7" w:rsidRPr="00196D5D">
        <w:rPr>
          <w:rFonts w:ascii="Arial" w:eastAsia="Times New Roman" w:hAnsi="Arial"/>
        </w:rPr>
        <w:t xml:space="preserve"> zł za postępowanie przygotowawcze, oba powiększone o stawkę podatku VAT. </w:t>
      </w:r>
      <w:r w:rsidR="00801440" w:rsidRPr="00196D5D">
        <w:rPr>
          <w:rFonts w:ascii="Arial" w:eastAsia="Times New Roman" w:hAnsi="Arial"/>
        </w:rPr>
        <w:t xml:space="preserve">Tym samym wynagrodzenie obrońcy powinno opiewać łącznie na kwotę 1 </w:t>
      </w:r>
      <w:r w:rsidR="00215100" w:rsidRPr="00196D5D">
        <w:rPr>
          <w:rFonts w:ascii="Arial" w:eastAsia="Times New Roman" w:hAnsi="Arial"/>
        </w:rPr>
        <w:t>440</w:t>
      </w:r>
      <w:r w:rsidR="00801440" w:rsidRPr="00196D5D">
        <w:rPr>
          <w:rFonts w:ascii="Arial" w:eastAsia="Times New Roman" w:hAnsi="Arial"/>
        </w:rPr>
        <w:t xml:space="preserve"> zł + VAT tj. 1</w:t>
      </w:r>
      <w:r w:rsidR="00215100" w:rsidRPr="00196D5D">
        <w:rPr>
          <w:rFonts w:ascii="Arial" w:eastAsia="Times New Roman" w:hAnsi="Arial"/>
        </w:rPr>
        <w:t xml:space="preserve"> 771,20 </w:t>
      </w:r>
      <w:r w:rsidR="00801440" w:rsidRPr="00196D5D">
        <w:rPr>
          <w:rFonts w:ascii="Arial" w:eastAsia="Times New Roman" w:hAnsi="Arial"/>
        </w:rPr>
        <w:t xml:space="preserve">zł, zamiast </w:t>
      </w:r>
      <w:r w:rsidR="00215100" w:rsidRPr="00196D5D">
        <w:rPr>
          <w:rFonts w:ascii="Arial" w:eastAsia="Times New Roman" w:hAnsi="Arial"/>
        </w:rPr>
        <w:t>720</w:t>
      </w:r>
      <w:r w:rsidR="00801440" w:rsidRPr="00196D5D">
        <w:rPr>
          <w:rFonts w:ascii="Arial" w:eastAsia="Times New Roman" w:hAnsi="Arial"/>
        </w:rPr>
        <w:t xml:space="preserve"> zł  + VAT tj. </w:t>
      </w:r>
      <w:r w:rsidR="00215100" w:rsidRPr="00196D5D">
        <w:rPr>
          <w:rFonts w:ascii="Arial" w:eastAsia="Times New Roman" w:hAnsi="Arial"/>
        </w:rPr>
        <w:t>885,60</w:t>
      </w:r>
      <w:r w:rsidR="00801440" w:rsidRPr="00196D5D">
        <w:rPr>
          <w:rFonts w:ascii="Arial" w:eastAsia="Times New Roman" w:hAnsi="Arial"/>
        </w:rPr>
        <w:t xml:space="preserve"> zł. </w:t>
      </w:r>
      <w:r w:rsidR="003D10AF" w:rsidRPr="00196D5D">
        <w:rPr>
          <w:rFonts w:ascii="Arial" w:eastAsia="Times New Roman" w:hAnsi="Arial"/>
        </w:rPr>
        <w:t xml:space="preserve">Stawki rozporządzenia w sprawie opłat za czynności adwokackie są bowiem stawkami minimalnymi za czynności adwokackie. </w:t>
      </w:r>
      <w:r w:rsidR="00801440" w:rsidRPr="00196D5D">
        <w:rPr>
          <w:rFonts w:ascii="Arial" w:eastAsia="Times New Roman" w:hAnsi="Arial"/>
        </w:rPr>
        <w:t xml:space="preserve">Ze uwagi na powyższe, </w:t>
      </w:r>
      <w:r w:rsidR="00801440" w:rsidRPr="00196D5D">
        <w:rPr>
          <w:rFonts w:ascii="Arial" w:eastAsia="Times New Roman" w:hAnsi="Arial"/>
          <w:b/>
          <w:bCs/>
        </w:rPr>
        <w:t xml:space="preserve">Sąd powinien przyznać obrońcy dodatkową kwotę wynagrodzenia w kwocie </w:t>
      </w:r>
      <w:r w:rsidR="00215100" w:rsidRPr="00196D5D">
        <w:rPr>
          <w:rFonts w:ascii="Arial" w:eastAsia="Times New Roman" w:hAnsi="Arial"/>
          <w:b/>
          <w:bCs/>
        </w:rPr>
        <w:t>720 zł + VAT tj. 885,60 zł.</w:t>
      </w:r>
    </w:p>
    <w:p w14:paraId="3821AF05" w14:textId="77777777" w:rsidR="00801440" w:rsidRPr="00196D5D" w:rsidRDefault="00801440" w:rsidP="00801440">
      <w:pPr>
        <w:spacing w:line="360" w:lineRule="auto"/>
        <w:jc w:val="both"/>
        <w:rPr>
          <w:rFonts w:ascii="Arial" w:eastAsia="Times New Roman" w:hAnsi="Arial"/>
        </w:rPr>
      </w:pPr>
    </w:p>
    <w:p w14:paraId="3A8A34CA" w14:textId="2594C4E5" w:rsidR="004469E9" w:rsidRPr="00196D5D" w:rsidRDefault="00D1546A" w:rsidP="00801440">
      <w:pPr>
        <w:spacing w:line="360" w:lineRule="auto"/>
        <w:jc w:val="both"/>
        <w:rPr>
          <w:rFonts w:ascii="Arial" w:eastAsia="Times New Roman" w:hAnsi="Arial"/>
        </w:rPr>
      </w:pPr>
      <w:r w:rsidRPr="00196D5D">
        <w:rPr>
          <w:rFonts w:ascii="Arial" w:eastAsia="Times New Roman" w:hAnsi="Arial"/>
        </w:rPr>
        <w:t xml:space="preserve">Wskazuję, że </w:t>
      </w:r>
      <w:r w:rsidR="004469E9" w:rsidRPr="00196D5D">
        <w:rPr>
          <w:rFonts w:ascii="Arial" w:eastAsia="Times New Roman" w:hAnsi="Arial"/>
        </w:rPr>
        <w:t xml:space="preserve">w odróżnieniu od rozstrzygnięcia Trybunału Konstytucyjnego z dnia 20 grudnia 2022 roku (SK 78/21) stwierdzającego niekonstytucyjność normy </w:t>
      </w:r>
      <w:r w:rsidR="004469E9" w:rsidRPr="00196D5D">
        <w:rPr>
          <w:rFonts w:ascii="Arial" w:eastAsia="Times New Roman" w:hAnsi="Arial"/>
        </w:rPr>
        <w:t>§ 17 ust. 1 pkt. 2 oraz § 17 ust. 2 pkt 3 rozporządzenia Ministra Sprawiedliwości z dnia 3 października 2016 r. w sprawie ponoszenia przez Skarb Państwa kosztów nieopłaconej pomocy prawnej udzielonej przez adwokata z urzędu (Dz. U. z 2019 r. poz. 18, ze zm.)</w:t>
      </w:r>
      <w:r w:rsidR="004469E9" w:rsidRPr="00196D5D">
        <w:rPr>
          <w:rFonts w:ascii="Arial" w:eastAsia="Times New Roman" w:hAnsi="Arial"/>
          <w:b/>
          <w:bCs/>
        </w:rPr>
        <w:t xml:space="preserve">, rozstrzygnięcie Trybunału Konstytucyjnego z dnia 27 lutego 2024 roku (SK 90/22) nie budzi wątpliwości pod kątem składu orzekającego, albowiem wszyscy rozstrzygający sprawę sędziowie zostali powołani w sposób ustawowo prawidłowy. </w:t>
      </w:r>
      <w:r w:rsidR="004469E9" w:rsidRPr="00196D5D">
        <w:rPr>
          <w:rFonts w:ascii="Arial" w:eastAsia="Times New Roman" w:hAnsi="Arial"/>
        </w:rPr>
        <w:t xml:space="preserve">Niezależnie </w:t>
      </w:r>
      <w:r w:rsidR="004469E9" w:rsidRPr="00196D5D">
        <w:rPr>
          <w:rFonts w:ascii="Arial" w:eastAsia="Times New Roman" w:hAnsi="Arial"/>
        </w:rPr>
        <w:lastRenderedPageBreak/>
        <w:t xml:space="preserve">od powyższego nadmienić należy, że </w:t>
      </w:r>
      <w:r w:rsidR="004469E9" w:rsidRPr="00196D5D">
        <w:rPr>
          <w:rFonts w:ascii="Arial" w:eastAsia="Times New Roman" w:hAnsi="Arial"/>
        </w:rPr>
        <w:t>Sąd jest uprawniony do rozproszonej kontroli konstytucyjności rozporządzeń w każdej rozpoznawanej sprawie.</w:t>
      </w:r>
    </w:p>
    <w:p w14:paraId="2AE75764" w14:textId="77777777" w:rsidR="004469E9" w:rsidRPr="00196D5D" w:rsidRDefault="004469E9" w:rsidP="00801440">
      <w:pPr>
        <w:spacing w:line="360" w:lineRule="auto"/>
        <w:jc w:val="both"/>
        <w:rPr>
          <w:rFonts w:ascii="Arial" w:eastAsia="Times New Roman" w:hAnsi="Arial"/>
        </w:rPr>
      </w:pPr>
    </w:p>
    <w:p w14:paraId="3CAE453D" w14:textId="08CE0B9F" w:rsidR="004469E9" w:rsidRPr="00196D5D" w:rsidRDefault="004469E9" w:rsidP="004469E9">
      <w:pPr>
        <w:spacing w:line="360" w:lineRule="auto"/>
        <w:jc w:val="both"/>
        <w:rPr>
          <w:rStyle w:val="pt-domylnaczcionkaakapitu-000024"/>
          <w:rFonts w:ascii="Arial" w:hAnsi="Arial"/>
          <w:i/>
          <w:iCs/>
          <w:shd w:val="clear" w:color="auto" w:fill="FFFFFF"/>
        </w:rPr>
      </w:pPr>
      <w:r w:rsidRPr="00196D5D">
        <w:rPr>
          <w:rFonts w:ascii="Arial" w:eastAsia="Times New Roman" w:hAnsi="Arial"/>
        </w:rPr>
        <w:t xml:space="preserve">Podkreślić należy, że wedle postanowienia Sądu Najwyższego Izby karnej z dnia 13 grudnia 2023 roku, wydanego w składzie 7-sędziów (I KZP 5/23) </w:t>
      </w:r>
      <w:r w:rsidRPr="00196D5D">
        <w:rPr>
          <w:rFonts w:ascii="Arial" w:hAnsi="Arial"/>
          <w:i/>
          <w:iCs/>
          <w:shd w:val="clear" w:color="auto" w:fill="FFFFFF"/>
        </w:rPr>
        <w:t>w</w:t>
      </w:r>
      <w:r w:rsidRPr="00196D5D">
        <w:rPr>
          <w:rFonts w:ascii="Arial" w:hAnsi="Arial"/>
          <w:i/>
          <w:iCs/>
          <w:shd w:val="clear" w:color="auto" w:fill="FFFFFF"/>
        </w:rPr>
        <w:t xml:space="preserve"> wypadku złożenia przez obrońcę lub pełnomocnika będącego adwokatem udzielającym nieopłaconej pomocy prawnej z urzędu, wniosku o zasądzenie od Skarbu Państwa w postępowaniu karnym kosztów takiej nieopłaconej pomocy, przy zastosowaniu stawek określonych w rozporządzeniu Ministra Sprawiedliwości z dnia 22 października 2015 r. w sprawie opłat za czynności adwokackie (</w:t>
      </w:r>
      <w:proofErr w:type="spellStart"/>
      <w:r w:rsidRPr="00196D5D">
        <w:rPr>
          <w:rFonts w:ascii="Arial" w:hAnsi="Arial"/>
          <w:i/>
          <w:iCs/>
          <w:shd w:val="clear" w:color="auto" w:fill="FFFFFF"/>
        </w:rPr>
        <w:t>t.j</w:t>
      </w:r>
      <w:proofErr w:type="spellEnd"/>
      <w:r w:rsidRPr="00196D5D">
        <w:rPr>
          <w:rFonts w:ascii="Arial" w:hAnsi="Arial"/>
          <w:i/>
          <w:iCs/>
          <w:shd w:val="clear" w:color="auto" w:fill="FFFFFF"/>
        </w:rPr>
        <w:t>.: Dz. U. z 2023 r., poz. 1964 ze zm</w:t>
      </w:r>
      <w:r w:rsidRPr="00196D5D">
        <w:rPr>
          <w:rFonts w:ascii="Arial" w:hAnsi="Arial"/>
          <w:b/>
          <w:bCs/>
          <w:i/>
          <w:iCs/>
          <w:u w:val="single"/>
          <w:shd w:val="clear" w:color="auto" w:fill="FFFFFF"/>
        </w:rPr>
        <w:t>.</w:t>
      </w:r>
      <w:r w:rsidRPr="00196D5D">
        <w:rPr>
          <w:rFonts w:ascii="Arial" w:hAnsi="Arial"/>
          <w:i/>
          <w:iCs/>
          <w:shd w:val="clear" w:color="auto" w:fill="FFFFFF"/>
        </w:rPr>
        <w:t xml:space="preserve">), </w:t>
      </w:r>
      <w:r w:rsidRPr="00196D5D">
        <w:rPr>
          <w:rFonts w:ascii="Arial" w:hAnsi="Arial"/>
          <w:b/>
          <w:bCs/>
          <w:i/>
          <w:iCs/>
          <w:u w:val="single"/>
          <w:shd w:val="clear" w:color="auto" w:fill="FFFFFF"/>
        </w:rPr>
        <w:t>rzeczą sądu powinno być przeprowadzenie rozproszonej kontroli konstytucyjnej rozporządzenia Ministra Sprawiedliwości z dnia 3 października 2016 r. w sprawie ponoszenia przez Skarb Państwa kosztów nieopłaconej pomocy prawnej udzielonej przez adwokata z urzędu, w oparciu o wzorce konstytucyjne w sposób jednoznaczny zarysowane m.in. w wyroku Trybunału Konstytucyjnego z dnia 23 kwietnia 2020 r., SK 66/19</w:t>
      </w:r>
      <w:r w:rsidRPr="00196D5D">
        <w:rPr>
          <w:rFonts w:ascii="Arial" w:hAnsi="Arial"/>
          <w:b/>
          <w:bCs/>
          <w:i/>
          <w:iCs/>
          <w:u w:val="single"/>
          <w:shd w:val="clear" w:color="auto" w:fill="FFFFFF"/>
        </w:rPr>
        <w:t xml:space="preserve">. </w:t>
      </w:r>
      <w:r w:rsidRPr="00196D5D">
        <w:rPr>
          <w:rFonts w:ascii="Arial" w:hAnsi="Arial"/>
          <w:b/>
          <w:bCs/>
          <w:i/>
          <w:iCs/>
          <w:u w:val="single"/>
          <w:shd w:val="clear" w:color="auto" w:fill="FFFFFF"/>
        </w:rPr>
        <w:t>Stwierdzenie niezgodności z Konstytucją całości lub części normy prawnej określonej jednostki redakcyjne</w:t>
      </w:r>
      <w:r w:rsidRPr="00196D5D">
        <w:rPr>
          <w:rFonts w:ascii="Arial" w:hAnsi="Arial"/>
          <w:b/>
          <w:bCs/>
          <w:i/>
          <w:iCs/>
          <w:shd w:val="clear" w:color="auto" w:fill="FFFFFF"/>
        </w:rPr>
        <w:t>j</w:t>
      </w:r>
      <w:r w:rsidRPr="00196D5D">
        <w:rPr>
          <w:rFonts w:ascii="Arial" w:hAnsi="Arial"/>
          <w:i/>
          <w:iCs/>
          <w:shd w:val="clear" w:color="auto" w:fill="FFFFFF"/>
        </w:rPr>
        <w:t xml:space="preserve"> rozporządzenia Ministra Sprawiedliwości z dnia 3 października 2016 r. przez orzekający w tym przedmiocie sąd, </w:t>
      </w:r>
      <w:r w:rsidRPr="00196D5D">
        <w:rPr>
          <w:rFonts w:ascii="Arial" w:hAnsi="Arial"/>
          <w:b/>
          <w:bCs/>
          <w:i/>
          <w:iCs/>
          <w:u w:val="single"/>
          <w:shd w:val="clear" w:color="auto" w:fill="FFFFFF"/>
        </w:rPr>
        <w:t>traktować bowiem należy jako okoliczność nieznaną dotąd sądowi, gdyż dopiero efekt przeprowadzenia rozproszonej kontroli konstytucyjnej – w wypadku stwierdzenia niekonstytucyjności – tworzy nowy, wcześniej nieznany stan prawny.</w:t>
      </w:r>
      <w:r w:rsidRPr="00196D5D">
        <w:rPr>
          <w:rFonts w:ascii="Arial" w:hAnsi="Arial"/>
          <w:i/>
          <w:iCs/>
          <w:shd w:val="clear" w:color="auto" w:fill="FFFFFF"/>
        </w:rPr>
        <w:t xml:space="preserve"> </w:t>
      </w:r>
      <w:r w:rsidRPr="00196D5D">
        <w:rPr>
          <w:rStyle w:val="pt-domylnaczcionkaakapitu-000024"/>
          <w:rFonts w:ascii="Arial" w:hAnsi="Arial"/>
          <w:i/>
          <w:iCs/>
          <w:shd w:val="clear" w:color="auto" w:fill="FFFFFF"/>
        </w:rPr>
        <w:t xml:space="preserve">Uwzględniając powyższe, za uprawnioną uznać należy możliwość wydania w takiej sytuacji uzupełniającego postanowienia o kosztach w trybie przewidzianym w art. 626 § 2 k.p.k. Do takiego wniosku prowadzi konieczność dokonywania prokonstytucyjnej wykładni przepisów ustawowych, których treść umożliwi realizację norm konstytucyjnych. Niewątpliwie taki charakter ma przepis art. 626 § 2 k.p.k. i zawarta w nim formuła „gdy zachodzi konieczność dodatkowego ich ustalenia”. Podsumowując, </w:t>
      </w:r>
      <w:r w:rsidRPr="00196D5D">
        <w:rPr>
          <w:rStyle w:val="pt-domylnaczcionkaakapitu-000026"/>
          <w:rFonts w:ascii="Arial" w:hAnsi="Arial"/>
          <w:b/>
          <w:bCs/>
          <w:i/>
          <w:iCs/>
          <w:shd w:val="clear" w:color="auto" w:fill="FFFFFF"/>
        </w:rPr>
        <w:t>stwierdzenie przez sąd niekonstytucyjności przepisów, na podstawie których orzeczono o kosztach pomocy prawnej świadczonej przez adwokata z urzędu, obliguje do odstąpienia od ich stosowania i umożliwia, w trybie przepisu art. 626 § 2 k.p.k., wydanie postanowienia uzupełniającego, z uwzględnieniem stawek należnych adwokatowi działającemu z wyboru</w:t>
      </w:r>
      <w:r w:rsidRPr="00196D5D">
        <w:rPr>
          <w:rStyle w:val="pt-domylnaczcionkaakapitu-000024"/>
          <w:rFonts w:ascii="Arial" w:hAnsi="Arial"/>
          <w:i/>
          <w:iCs/>
          <w:shd w:val="clear" w:color="auto" w:fill="FFFFFF"/>
        </w:rPr>
        <w:t xml:space="preserve">. </w:t>
      </w:r>
    </w:p>
    <w:p w14:paraId="54A49ADF" w14:textId="04A30C02" w:rsidR="004469E9" w:rsidRPr="00196D5D" w:rsidRDefault="004469E9" w:rsidP="00801440">
      <w:pPr>
        <w:spacing w:line="360" w:lineRule="auto"/>
        <w:jc w:val="both"/>
        <w:rPr>
          <w:rFonts w:ascii="Arial" w:eastAsia="Times New Roman" w:hAnsi="Arial"/>
        </w:rPr>
      </w:pPr>
    </w:p>
    <w:p w14:paraId="233EA1D2" w14:textId="719C46DD" w:rsidR="004469E9" w:rsidRPr="00196D5D" w:rsidRDefault="004469E9" w:rsidP="00801440">
      <w:pPr>
        <w:spacing w:line="360" w:lineRule="auto"/>
        <w:jc w:val="both"/>
        <w:rPr>
          <w:rFonts w:ascii="Arial" w:eastAsia="Times New Roman" w:hAnsi="Arial"/>
        </w:rPr>
      </w:pPr>
      <w:r w:rsidRPr="00196D5D">
        <w:rPr>
          <w:rFonts w:ascii="Arial" w:eastAsia="Times New Roman" w:hAnsi="Arial"/>
        </w:rPr>
        <w:t>Należy zauważyć, że rozstrzygnięcie Sądu Najwyższego z dnia 13 grudnia 2023 roku</w:t>
      </w:r>
      <w:r w:rsidR="00DB46EB" w:rsidRPr="00196D5D">
        <w:rPr>
          <w:rFonts w:ascii="Arial" w:eastAsia="Times New Roman" w:hAnsi="Arial"/>
        </w:rPr>
        <w:t xml:space="preserve"> (I KZP 5/23)</w:t>
      </w:r>
      <w:r w:rsidRPr="00196D5D">
        <w:rPr>
          <w:rFonts w:ascii="Arial" w:eastAsia="Times New Roman" w:hAnsi="Arial"/>
        </w:rPr>
        <w:t xml:space="preserve"> o odmowie podjęcia uchwały, wydane zostało, zanim doszło do wydania „prawidłowego” wyroku w sprawie SK 90/22, wobec czego niewątpliwie, w sytuacji istnienia wyroku Trybunału Konstytucyjnego, stwierdzającego niekonstytucyjność przywołanych wyżej norm prawnych, zastosowanie art. 626 §2 kodeksu postępowania karnego, stanowi obowiązek sądu rozstrzygającego sprawę. </w:t>
      </w:r>
    </w:p>
    <w:p w14:paraId="7ACF68B0" w14:textId="77777777" w:rsidR="004469E9" w:rsidRPr="00196D5D" w:rsidRDefault="004469E9" w:rsidP="00801440">
      <w:pPr>
        <w:spacing w:line="360" w:lineRule="auto"/>
        <w:jc w:val="both"/>
        <w:rPr>
          <w:rFonts w:ascii="Arial" w:eastAsia="Times New Roman" w:hAnsi="Arial"/>
        </w:rPr>
      </w:pPr>
    </w:p>
    <w:p w14:paraId="18306DDD" w14:textId="14F378B3" w:rsidR="00282300" w:rsidRPr="00196D5D" w:rsidRDefault="00282300" w:rsidP="00801440">
      <w:pPr>
        <w:spacing w:line="360" w:lineRule="auto"/>
        <w:jc w:val="both"/>
        <w:rPr>
          <w:rFonts w:ascii="Arial" w:eastAsia="Times New Roman" w:hAnsi="Arial"/>
        </w:rPr>
      </w:pPr>
    </w:p>
    <w:p w14:paraId="7F6F26D1" w14:textId="77777777" w:rsidR="009B12DC" w:rsidRPr="00196D5D" w:rsidRDefault="009B12DC" w:rsidP="00282300">
      <w:pPr>
        <w:spacing w:line="360" w:lineRule="auto"/>
        <w:jc w:val="right"/>
        <w:rPr>
          <w:rFonts w:ascii="Arial" w:eastAsia="Times New Roman" w:hAnsi="Arial"/>
        </w:rPr>
      </w:pPr>
    </w:p>
    <w:p w14:paraId="5B6A3475" w14:textId="3FD23CB1" w:rsidR="00282300" w:rsidRPr="00196D5D" w:rsidRDefault="00282300" w:rsidP="00282300">
      <w:pPr>
        <w:spacing w:line="360" w:lineRule="auto"/>
        <w:jc w:val="right"/>
        <w:rPr>
          <w:rFonts w:ascii="Arial" w:eastAsia="Times New Roman" w:hAnsi="Arial"/>
        </w:rPr>
      </w:pPr>
      <w:r w:rsidRPr="00196D5D">
        <w:rPr>
          <w:rFonts w:ascii="Arial" w:eastAsia="Times New Roman" w:hAnsi="Arial"/>
        </w:rPr>
        <w:t>………………………..</w:t>
      </w:r>
    </w:p>
    <w:p w14:paraId="187EF383" w14:textId="5F11901B" w:rsidR="00A1371A" w:rsidRPr="00196D5D" w:rsidRDefault="00282300" w:rsidP="00282300">
      <w:pPr>
        <w:spacing w:line="360" w:lineRule="auto"/>
        <w:jc w:val="right"/>
        <w:rPr>
          <w:rFonts w:ascii="Arial" w:eastAsia="Times New Roman" w:hAnsi="Arial"/>
        </w:rPr>
      </w:pPr>
      <w:r w:rsidRPr="00196D5D">
        <w:rPr>
          <w:rFonts w:ascii="Arial" w:eastAsia="Times New Roman" w:hAnsi="Arial"/>
        </w:rPr>
        <w:t>adwokat</w:t>
      </w:r>
      <w:r w:rsidR="009B12DC" w:rsidRPr="00196D5D">
        <w:rPr>
          <w:rFonts w:ascii="Arial" w:eastAsia="Times New Roman" w:hAnsi="Arial"/>
        </w:rPr>
        <w:t xml:space="preserve"> XYZ</w:t>
      </w:r>
    </w:p>
    <w:sectPr w:rsidR="00A1371A" w:rsidRPr="00196D5D" w:rsidSect="00AA1397">
      <w:headerReference w:type="default" r:id="rId8"/>
      <w:headerReference w:type="first" r:id="rId9"/>
      <w:footerReference w:type="first" r:id="rId10"/>
      <w:pgSz w:w="11900" w:h="16840"/>
      <w:pgMar w:top="1440" w:right="1440" w:bottom="875" w:left="1440" w:header="0" w:footer="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8DC6" w14:textId="77777777" w:rsidR="00AA1397" w:rsidRDefault="00AA1397" w:rsidP="000408B0">
      <w:r>
        <w:separator/>
      </w:r>
    </w:p>
  </w:endnote>
  <w:endnote w:type="continuationSeparator" w:id="0">
    <w:p w14:paraId="0AB45A32" w14:textId="77777777" w:rsidR="00AA1397" w:rsidRDefault="00AA1397" w:rsidP="0004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41F5" w14:textId="162C2EA5" w:rsidR="00BE39BC" w:rsidRDefault="00193C1E">
    <w:pPr>
      <w:pStyle w:val="Stopka"/>
    </w:pPr>
    <w:r>
      <w:t xml:space="preserve"> </w:t>
    </w:r>
  </w:p>
  <w:p w14:paraId="54F1169D" w14:textId="77777777" w:rsidR="00BE39BC" w:rsidRDefault="00BE3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09F2" w14:textId="77777777" w:rsidR="00AA1397" w:rsidRDefault="00AA1397" w:rsidP="000408B0">
      <w:r>
        <w:separator/>
      </w:r>
    </w:p>
  </w:footnote>
  <w:footnote w:type="continuationSeparator" w:id="0">
    <w:p w14:paraId="15BCDB77" w14:textId="77777777" w:rsidR="00AA1397" w:rsidRDefault="00AA1397" w:rsidP="0004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51CF" w14:textId="77777777" w:rsidR="000408B0" w:rsidRDefault="000408B0">
    <w:pPr>
      <w:pStyle w:val="Nagwek"/>
    </w:pPr>
  </w:p>
  <w:p w14:paraId="13FD52DC" w14:textId="77777777" w:rsidR="000408B0" w:rsidRDefault="000408B0">
    <w:pPr>
      <w:pStyle w:val="Nagwek"/>
    </w:pPr>
  </w:p>
  <w:p w14:paraId="78608188" w14:textId="77777777" w:rsidR="000408B0" w:rsidRDefault="000408B0">
    <w:pPr>
      <w:pStyle w:val="Nagwek"/>
    </w:pPr>
  </w:p>
  <w:p w14:paraId="295646C7" w14:textId="77777777" w:rsidR="000408B0" w:rsidRDefault="00FD2B8D" w:rsidP="00FD2B8D">
    <w:pPr>
      <w:pStyle w:val="Nagwek"/>
      <w:tabs>
        <w:tab w:val="clear" w:pos="4536"/>
        <w:tab w:val="clear" w:pos="9072"/>
        <w:tab w:val="left" w:pos="17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F771" w14:textId="0DF8080E" w:rsidR="000408B0" w:rsidRDefault="000408B0">
    <w:pPr>
      <w:pStyle w:val="Nagwek"/>
    </w:pPr>
  </w:p>
  <w:p w14:paraId="524DCC02" w14:textId="77777777" w:rsidR="000408B0" w:rsidRDefault="000408B0">
    <w:pPr>
      <w:pStyle w:val="Nagwek"/>
    </w:pPr>
  </w:p>
  <w:p w14:paraId="0D9856BA" w14:textId="77777777" w:rsidR="000408B0" w:rsidRDefault="000408B0">
    <w:pPr>
      <w:pStyle w:val="Nagwek"/>
    </w:pPr>
  </w:p>
  <w:p w14:paraId="2843C390" w14:textId="77777777" w:rsidR="000408B0" w:rsidRDefault="000408B0">
    <w:pPr>
      <w:pStyle w:val="Nagwek"/>
    </w:pPr>
  </w:p>
  <w:p w14:paraId="4AB2224F" w14:textId="77777777" w:rsidR="000408B0" w:rsidRDefault="000408B0">
    <w:pPr>
      <w:pStyle w:val="Nagwek"/>
    </w:pPr>
  </w:p>
  <w:p w14:paraId="2EDB16FA" w14:textId="77777777" w:rsidR="000408B0" w:rsidRDefault="000408B0">
    <w:pPr>
      <w:pStyle w:val="Nagwek"/>
    </w:pPr>
  </w:p>
  <w:p w14:paraId="260D4C57" w14:textId="77777777" w:rsidR="000408B0" w:rsidRDefault="00040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148EF948">
      <w:start w:val="1"/>
      <w:numFmt w:val="decimal"/>
      <w:lvlText w:val="%1."/>
      <w:lvlJc w:val="left"/>
    </w:lvl>
    <w:lvl w:ilvl="1" w:tplc="EB9C5708">
      <w:start w:val="1"/>
      <w:numFmt w:val="bullet"/>
      <w:lvlText w:val=""/>
      <w:lvlJc w:val="left"/>
    </w:lvl>
    <w:lvl w:ilvl="2" w:tplc="26562E52">
      <w:start w:val="1"/>
      <w:numFmt w:val="bullet"/>
      <w:lvlText w:val=""/>
      <w:lvlJc w:val="left"/>
    </w:lvl>
    <w:lvl w:ilvl="3" w:tplc="5BB002A4">
      <w:start w:val="1"/>
      <w:numFmt w:val="bullet"/>
      <w:lvlText w:val=""/>
      <w:lvlJc w:val="left"/>
    </w:lvl>
    <w:lvl w:ilvl="4" w:tplc="A1BE5EE2">
      <w:start w:val="1"/>
      <w:numFmt w:val="bullet"/>
      <w:lvlText w:val=""/>
      <w:lvlJc w:val="left"/>
    </w:lvl>
    <w:lvl w:ilvl="5" w:tplc="7AB86AB4">
      <w:start w:val="1"/>
      <w:numFmt w:val="bullet"/>
      <w:lvlText w:val=""/>
      <w:lvlJc w:val="left"/>
    </w:lvl>
    <w:lvl w:ilvl="6" w:tplc="0B9494BC">
      <w:start w:val="1"/>
      <w:numFmt w:val="bullet"/>
      <w:lvlText w:val=""/>
      <w:lvlJc w:val="left"/>
    </w:lvl>
    <w:lvl w:ilvl="7" w:tplc="92E002EC">
      <w:start w:val="1"/>
      <w:numFmt w:val="bullet"/>
      <w:lvlText w:val=""/>
      <w:lvlJc w:val="left"/>
    </w:lvl>
    <w:lvl w:ilvl="8" w:tplc="5BB0DCC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ED9049D4">
      <w:start w:val="1"/>
      <w:numFmt w:val="bullet"/>
      <w:lvlText w:val="w"/>
      <w:lvlJc w:val="left"/>
    </w:lvl>
    <w:lvl w:ilvl="1" w:tplc="D8B2AB26">
      <w:start w:val="1"/>
      <w:numFmt w:val="bullet"/>
      <w:lvlText w:val="•"/>
      <w:lvlJc w:val="left"/>
    </w:lvl>
    <w:lvl w:ilvl="2" w:tplc="77A6993E">
      <w:start w:val="1"/>
      <w:numFmt w:val="bullet"/>
      <w:lvlText w:val="•"/>
      <w:lvlJc w:val="left"/>
    </w:lvl>
    <w:lvl w:ilvl="3" w:tplc="4822C8E4">
      <w:start w:val="1"/>
      <w:numFmt w:val="bullet"/>
      <w:lvlText w:val=""/>
      <w:lvlJc w:val="left"/>
    </w:lvl>
    <w:lvl w:ilvl="4" w:tplc="780E49CC">
      <w:start w:val="1"/>
      <w:numFmt w:val="bullet"/>
      <w:lvlText w:val=""/>
      <w:lvlJc w:val="left"/>
    </w:lvl>
    <w:lvl w:ilvl="5" w:tplc="8D6E4D48">
      <w:start w:val="1"/>
      <w:numFmt w:val="bullet"/>
      <w:lvlText w:val=""/>
      <w:lvlJc w:val="left"/>
    </w:lvl>
    <w:lvl w:ilvl="6" w:tplc="1D746AEC">
      <w:start w:val="1"/>
      <w:numFmt w:val="bullet"/>
      <w:lvlText w:val=""/>
      <w:lvlJc w:val="left"/>
    </w:lvl>
    <w:lvl w:ilvl="7" w:tplc="5C56E84E">
      <w:start w:val="1"/>
      <w:numFmt w:val="bullet"/>
      <w:lvlText w:val=""/>
      <w:lvlJc w:val="left"/>
    </w:lvl>
    <w:lvl w:ilvl="8" w:tplc="8EB41CEA">
      <w:start w:val="1"/>
      <w:numFmt w:val="bullet"/>
      <w:lvlText w:val=""/>
      <w:lvlJc w:val="left"/>
    </w:lvl>
  </w:abstractNum>
  <w:abstractNum w:abstractNumId="2" w15:restartNumberingAfterBreak="0">
    <w:nsid w:val="0450268F"/>
    <w:multiLevelType w:val="hybridMultilevel"/>
    <w:tmpl w:val="4532F814"/>
    <w:lvl w:ilvl="0" w:tplc="B08A4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1C7A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1A10"/>
    <w:multiLevelType w:val="hybridMultilevel"/>
    <w:tmpl w:val="4532F814"/>
    <w:lvl w:ilvl="0" w:tplc="B08A4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6262"/>
    <w:multiLevelType w:val="hybridMultilevel"/>
    <w:tmpl w:val="FEA21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0B0"/>
    <w:multiLevelType w:val="hybridMultilevel"/>
    <w:tmpl w:val="7DE2D004"/>
    <w:lvl w:ilvl="0" w:tplc="08643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9193E"/>
    <w:multiLevelType w:val="hybridMultilevel"/>
    <w:tmpl w:val="4102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3593"/>
    <w:multiLevelType w:val="multilevel"/>
    <w:tmpl w:val="FA6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24C76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30AA5"/>
    <w:multiLevelType w:val="hybridMultilevel"/>
    <w:tmpl w:val="07E4F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F2342C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53C39"/>
    <w:multiLevelType w:val="hybridMultilevel"/>
    <w:tmpl w:val="2996E8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E03C83"/>
    <w:multiLevelType w:val="hybridMultilevel"/>
    <w:tmpl w:val="0EE4B882"/>
    <w:lvl w:ilvl="0" w:tplc="F778570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6241"/>
    <w:multiLevelType w:val="hybridMultilevel"/>
    <w:tmpl w:val="7ED2D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301D2"/>
    <w:multiLevelType w:val="hybridMultilevel"/>
    <w:tmpl w:val="E8B28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1679EA"/>
    <w:multiLevelType w:val="hybridMultilevel"/>
    <w:tmpl w:val="A1BC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7726D"/>
    <w:multiLevelType w:val="hybridMultilevel"/>
    <w:tmpl w:val="9D7C3910"/>
    <w:lvl w:ilvl="0" w:tplc="521680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8801098">
    <w:abstractNumId w:val="0"/>
  </w:num>
  <w:num w:numId="2" w16cid:durableId="438843742">
    <w:abstractNumId w:val="1"/>
  </w:num>
  <w:num w:numId="3" w16cid:durableId="1955936099">
    <w:abstractNumId w:val="3"/>
  </w:num>
  <w:num w:numId="4" w16cid:durableId="250551662">
    <w:abstractNumId w:val="9"/>
  </w:num>
  <w:num w:numId="5" w16cid:durableId="1925645145">
    <w:abstractNumId w:val="8"/>
  </w:num>
  <w:num w:numId="6" w16cid:durableId="943073744">
    <w:abstractNumId w:val="12"/>
  </w:num>
  <w:num w:numId="7" w16cid:durableId="1224026612">
    <w:abstractNumId w:val="11"/>
  </w:num>
  <w:num w:numId="8" w16cid:durableId="223763180">
    <w:abstractNumId w:val="7"/>
  </w:num>
  <w:num w:numId="9" w16cid:durableId="4949986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604287">
    <w:abstractNumId w:val="15"/>
  </w:num>
  <w:num w:numId="11" w16cid:durableId="1155797220">
    <w:abstractNumId w:val="10"/>
  </w:num>
  <w:num w:numId="12" w16cid:durableId="670839714">
    <w:abstractNumId w:val="16"/>
  </w:num>
  <w:num w:numId="13" w16cid:durableId="1056392540">
    <w:abstractNumId w:val="18"/>
  </w:num>
  <w:num w:numId="14" w16cid:durableId="646472732">
    <w:abstractNumId w:val="6"/>
  </w:num>
  <w:num w:numId="15" w16cid:durableId="1609317350">
    <w:abstractNumId w:val="5"/>
  </w:num>
  <w:num w:numId="16" w16cid:durableId="1411997108">
    <w:abstractNumId w:val="4"/>
  </w:num>
  <w:num w:numId="17" w16cid:durableId="1806854027">
    <w:abstractNumId w:val="17"/>
  </w:num>
  <w:num w:numId="18" w16cid:durableId="1219393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FB"/>
    <w:rsid w:val="00034231"/>
    <w:rsid w:val="000408B0"/>
    <w:rsid w:val="000718D8"/>
    <w:rsid w:val="00076CD7"/>
    <w:rsid w:val="00084C35"/>
    <w:rsid w:val="000B35C0"/>
    <w:rsid w:val="000D6644"/>
    <w:rsid w:val="000E3EC0"/>
    <w:rsid w:val="000F1951"/>
    <w:rsid w:val="00134763"/>
    <w:rsid w:val="001423E1"/>
    <w:rsid w:val="001502A7"/>
    <w:rsid w:val="001528F1"/>
    <w:rsid w:val="00162352"/>
    <w:rsid w:val="00193C1E"/>
    <w:rsid w:val="00196D5D"/>
    <w:rsid w:val="001A69C9"/>
    <w:rsid w:val="001E7B9F"/>
    <w:rsid w:val="001F6CA2"/>
    <w:rsid w:val="00215100"/>
    <w:rsid w:val="002317E6"/>
    <w:rsid w:val="0025338D"/>
    <w:rsid w:val="00255B02"/>
    <w:rsid w:val="00256B54"/>
    <w:rsid w:val="002625BA"/>
    <w:rsid w:val="002756CE"/>
    <w:rsid w:val="00282300"/>
    <w:rsid w:val="00283049"/>
    <w:rsid w:val="00292B83"/>
    <w:rsid w:val="002A0353"/>
    <w:rsid w:val="002A7F95"/>
    <w:rsid w:val="002E36AA"/>
    <w:rsid w:val="002E6F5E"/>
    <w:rsid w:val="002F2D92"/>
    <w:rsid w:val="003023B5"/>
    <w:rsid w:val="00303BC6"/>
    <w:rsid w:val="00312819"/>
    <w:rsid w:val="0033439D"/>
    <w:rsid w:val="0037020E"/>
    <w:rsid w:val="00383996"/>
    <w:rsid w:val="003879F4"/>
    <w:rsid w:val="00390DC7"/>
    <w:rsid w:val="00393278"/>
    <w:rsid w:val="003B1E34"/>
    <w:rsid w:val="003D10AF"/>
    <w:rsid w:val="003D54D4"/>
    <w:rsid w:val="003E42A7"/>
    <w:rsid w:val="003E433C"/>
    <w:rsid w:val="003F4550"/>
    <w:rsid w:val="0041444E"/>
    <w:rsid w:val="004376C3"/>
    <w:rsid w:val="0044259C"/>
    <w:rsid w:val="00444396"/>
    <w:rsid w:val="004469E9"/>
    <w:rsid w:val="0044756D"/>
    <w:rsid w:val="004714C1"/>
    <w:rsid w:val="00490ED1"/>
    <w:rsid w:val="00494BDC"/>
    <w:rsid w:val="004C2B35"/>
    <w:rsid w:val="004D0346"/>
    <w:rsid w:val="004D0D69"/>
    <w:rsid w:val="00507D01"/>
    <w:rsid w:val="00510A88"/>
    <w:rsid w:val="005242D3"/>
    <w:rsid w:val="005301A4"/>
    <w:rsid w:val="00531227"/>
    <w:rsid w:val="00535279"/>
    <w:rsid w:val="00563790"/>
    <w:rsid w:val="005C10F2"/>
    <w:rsid w:val="005F2A64"/>
    <w:rsid w:val="005F3342"/>
    <w:rsid w:val="006145A8"/>
    <w:rsid w:val="00623947"/>
    <w:rsid w:val="00623CF5"/>
    <w:rsid w:val="00624A86"/>
    <w:rsid w:val="00650039"/>
    <w:rsid w:val="006A3DF5"/>
    <w:rsid w:val="006B02C2"/>
    <w:rsid w:val="006B68E5"/>
    <w:rsid w:val="006D06D5"/>
    <w:rsid w:val="006F5EED"/>
    <w:rsid w:val="00734C72"/>
    <w:rsid w:val="0076772F"/>
    <w:rsid w:val="007701E2"/>
    <w:rsid w:val="007703D7"/>
    <w:rsid w:val="00771F31"/>
    <w:rsid w:val="007838DB"/>
    <w:rsid w:val="007868D6"/>
    <w:rsid w:val="00797869"/>
    <w:rsid w:val="007A7929"/>
    <w:rsid w:val="007C53E4"/>
    <w:rsid w:val="007C5D1F"/>
    <w:rsid w:val="007D1E6D"/>
    <w:rsid w:val="007F572B"/>
    <w:rsid w:val="00801440"/>
    <w:rsid w:val="00807F06"/>
    <w:rsid w:val="0081402A"/>
    <w:rsid w:val="00815751"/>
    <w:rsid w:val="008235C1"/>
    <w:rsid w:val="00837BED"/>
    <w:rsid w:val="00893B79"/>
    <w:rsid w:val="008B354C"/>
    <w:rsid w:val="008B5707"/>
    <w:rsid w:val="008C1FB2"/>
    <w:rsid w:val="008E6342"/>
    <w:rsid w:val="0090331B"/>
    <w:rsid w:val="0091439C"/>
    <w:rsid w:val="00916DCF"/>
    <w:rsid w:val="009465C4"/>
    <w:rsid w:val="00952731"/>
    <w:rsid w:val="0096645F"/>
    <w:rsid w:val="009B12DC"/>
    <w:rsid w:val="009B6DD8"/>
    <w:rsid w:val="009C4C78"/>
    <w:rsid w:val="00A1371A"/>
    <w:rsid w:val="00A4565E"/>
    <w:rsid w:val="00A55D34"/>
    <w:rsid w:val="00A70315"/>
    <w:rsid w:val="00A70E2C"/>
    <w:rsid w:val="00A716DD"/>
    <w:rsid w:val="00A84089"/>
    <w:rsid w:val="00A943E0"/>
    <w:rsid w:val="00AA0F24"/>
    <w:rsid w:val="00AA1397"/>
    <w:rsid w:val="00AF7727"/>
    <w:rsid w:val="00B02AAC"/>
    <w:rsid w:val="00B121FB"/>
    <w:rsid w:val="00B334F5"/>
    <w:rsid w:val="00B71C1B"/>
    <w:rsid w:val="00B73B11"/>
    <w:rsid w:val="00B73EDA"/>
    <w:rsid w:val="00BD63F6"/>
    <w:rsid w:val="00BE39BC"/>
    <w:rsid w:val="00BF3B9E"/>
    <w:rsid w:val="00BF53A3"/>
    <w:rsid w:val="00C14BAB"/>
    <w:rsid w:val="00C44CF8"/>
    <w:rsid w:val="00C502BD"/>
    <w:rsid w:val="00C608F2"/>
    <w:rsid w:val="00C81758"/>
    <w:rsid w:val="00C874E7"/>
    <w:rsid w:val="00CB606A"/>
    <w:rsid w:val="00CB6CB5"/>
    <w:rsid w:val="00CD0F7A"/>
    <w:rsid w:val="00D06A3B"/>
    <w:rsid w:val="00D14783"/>
    <w:rsid w:val="00D1546A"/>
    <w:rsid w:val="00D252AB"/>
    <w:rsid w:val="00D33D4F"/>
    <w:rsid w:val="00D478BA"/>
    <w:rsid w:val="00D516AB"/>
    <w:rsid w:val="00D670B2"/>
    <w:rsid w:val="00D77C7F"/>
    <w:rsid w:val="00D81199"/>
    <w:rsid w:val="00D8245C"/>
    <w:rsid w:val="00D85681"/>
    <w:rsid w:val="00D91DFA"/>
    <w:rsid w:val="00DA275E"/>
    <w:rsid w:val="00DA3F57"/>
    <w:rsid w:val="00DA48BF"/>
    <w:rsid w:val="00DB286C"/>
    <w:rsid w:val="00DB46EB"/>
    <w:rsid w:val="00E22B40"/>
    <w:rsid w:val="00E30A6C"/>
    <w:rsid w:val="00E34875"/>
    <w:rsid w:val="00E352FF"/>
    <w:rsid w:val="00E403DE"/>
    <w:rsid w:val="00E62B52"/>
    <w:rsid w:val="00E8365B"/>
    <w:rsid w:val="00E92877"/>
    <w:rsid w:val="00E93CD3"/>
    <w:rsid w:val="00EA3EC0"/>
    <w:rsid w:val="00EA6D32"/>
    <w:rsid w:val="00EB3E9C"/>
    <w:rsid w:val="00EC025C"/>
    <w:rsid w:val="00ED510C"/>
    <w:rsid w:val="00EF7BB6"/>
    <w:rsid w:val="00F052A9"/>
    <w:rsid w:val="00F545C3"/>
    <w:rsid w:val="00F66AA6"/>
    <w:rsid w:val="00F94401"/>
    <w:rsid w:val="00FA409F"/>
    <w:rsid w:val="00FB7057"/>
    <w:rsid w:val="00FD2B8D"/>
    <w:rsid w:val="00FD623F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5D8A5D"/>
  <w15:chartTrackingRefBased/>
  <w15:docId w15:val="{9B14B679-A509-40F4-A4A3-379D02E6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121F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2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B121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8B0"/>
  </w:style>
  <w:style w:type="paragraph" w:styleId="Stopka">
    <w:name w:val="footer"/>
    <w:basedOn w:val="Normalny"/>
    <w:link w:val="Stopka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8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5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56D"/>
  </w:style>
  <w:style w:type="character" w:styleId="Odwoanieprzypisukocowego">
    <w:name w:val="endnote reference"/>
    <w:uiPriority w:val="99"/>
    <w:semiHidden/>
    <w:unhideWhenUsed/>
    <w:rsid w:val="00447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D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E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F24"/>
    <w:rPr>
      <w:rFonts w:ascii="Segoe UI" w:hAnsi="Segoe UI" w:cs="Segoe UI"/>
      <w:sz w:val="18"/>
      <w:szCs w:val="18"/>
    </w:rPr>
  </w:style>
  <w:style w:type="paragraph" w:customStyle="1" w:styleId="pt-normalny-000021">
    <w:name w:val="pt-normalny-000021"/>
    <w:basedOn w:val="Normalny"/>
    <w:rsid w:val="004469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omylnaczcionkaakapitu-000024">
    <w:name w:val="pt-domylnaczcionkaakapitu-000024"/>
    <w:basedOn w:val="Domylnaczcionkaakapitu"/>
    <w:rsid w:val="004469E9"/>
  </w:style>
  <w:style w:type="character" w:customStyle="1" w:styleId="pt-domylnaczcionkaakapitu-000026">
    <w:name w:val="pt-domylnaczcionkaakapitu-000026"/>
    <w:basedOn w:val="Domylnaczcionkaakapitu"/>
    <w:rsid w:val="0044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695B-EA29-488A-A06E-675113A2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Filip Tohl</cp:lastModifiedBy>
  <cp:revision>38</cp:revision>
  <cp:lastPrinted>2021-08-05T09:26:00Z</cp:lastPrinted>
  <dcterms:created xsi:type="dcterms:W3CDTF">2022-12-22T11:32:00Z</dcterms:created>
  <dcterms:modified xsi:type="dcterms:W3CDTF">2024-03-04T18:27:00Z</dcterms:modified>
</cp:coreProperties>
</file>