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4045E" w14:textId="77777777" w:rsidR="006909C1" w:rsidRPr="00CC27F9" w:rsidRDefault="001A71AF" w:rsidP="00ED510C">
      <w:pPr>
        <w:tabs>
          <w:tab w:val="left" w:pos="4536"/>
        </w:tabs>
        <w:spacing w:line="366" w:lineRule="auto"/>
        <w:jc w:val="right"/>
        <w:rPr>
          <w:rFonts w:ascii="Arial" w:eastAsia="Times New Roman" w:hAnsi="Arial"/>
          <w:sz w:val="22"/>
          <w:szCs w:val="22"/>
        </w:rPr>
      </w:pPr>
      <w:r w:rsidRPr="00CC27F9">
        <w:rPr>
          <w:rFonts w:ascii="Arial" w:eastAsia="Times New Roman" w:hAnsi="Arial"/>
          <w:sz w:val="22"/>
          <w:szCs w:val="22"/>
        </w:rPr>
        <w:tab/>
      </w:r>
    </w:p>
    <w:p w14:paraId="701DFBBA" w14:textId="7FF53FEF" w:rsidR="00F545C3" w:rsidRPr="00CC27F9" w:rsidRDefault="00CC27F9" w:rsidP="00ED510C">
      <w:pPr>
        <w:tabs>
          <w:tab w:val="left" w:pos="4536"/>
        </w:tabs>
        <w:spacing w:line="366" w:lineRule="auto"/>
        <w:jc w:val="right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…………………………………, 2022 roku</w:t>
      </w:r>
    </w:p>
    <w:p w14:paraId="5F370E25" w14:textId="77777777" w:rsidR="006909C1" w:rsidRPr="00CC27F9" w:rsidRDefault="006909C1" w:rsidP="00ED510C">
      <w:pPr>
        <w:tabs>
          <w:tab w:val="left" w:pos="4536"/>
        </w:tabs>
        <w:spacing w:line="366" w:lineRule="auto"/>
        <w:jc w:val="right"/>
        <w:rPr>
          <w:rFonts w:ascii="Arial" w:eastAsia="Times New Roman" w:hAnsi="Arial"/>
          <w:sz w:val="22"/>
          <w:szCs w:val="22"/>
        </w:rPr>
      </w:pPr>
    </w:p>
    <w:p w14:paraId="7669B518" w14:textId="6EAB29C8" w:rsidR="00ED510C" w:rsidRPr="00CC27F9" w:rsidRDefault="00ED510C" w:rsidP="004A10C0">
      <w:pPr>
        <w:tabs>
          <w:tab w:val="left" w:pos="4536"/>
        </w:tabs>
        <w:spacing w:line="366" w:lineRule="auto"/>
        <w:ind w:left="4536"/>
        <w:rPr>
          <w:rFonts w:ascii="Arial" w:eastAsia="Times New Roman" w:hAnsi="Arial"/>
          <w:b/>
          <w:sz w:val="22"/>
          <w:szCs w:val="22"/>
        </w:rPr>
      </w:pPr>
      <w:r w:rsidRPr="00CC27F9">
        <w:rPr>
          <w:rFonts w:ascii="Arial" w:eastAsia="Times New Roman" w:hAnsi="Arial"/>
          <w:b/>
          <w:sz w:val="22"/>
          <w:szCs w:val="22"/>
        </w:rPr>
        <w:t xml:space="preserve">SĄD </w:t>
      </w:r>
      <w:r w:rsidR="002128E4" w:rsidRPr="00CC27F9">
        <w:rPr>
          <w:rFonts w:ascii="Arial" w:eastAsia="Times New Roman" w:hAnsi="Arial"/>
          <w:b/>
          <w:sz w:val="22"/>
          <w:szCs w:val="22"/>
        </w:rPr>
        <w:t xml:space="preserve">OKRĘGOWY </w:t>
      </w:r>
      <w:r w:rsidR="00CC27F9">
        <w:rPr>
          <w:rFonts w:ascii="Arial" w:eastAsia="Times New Roman" w:hAnsi="Arial"/>
          <w:b/>
          <w:sz w:val="22"/>
          <w:szCs w:val="22"/>
        </w:rPr>
        <w:t>……………….</w:t>
      </w:r>
      <w:r w:rsidR="004A10C0" w:rsidRPr="00CC27F9">
        <w:rPr>
          <w:rFonts w:ascii="Arial" w:eastAsia="Times New Roman" w:hAnsi="Arial"/>
          <w:b/>
          <w:sz w:val="22"/>
          <w:szCs w:val="22"/>
        </w:rPr>
        <w:br/>
      </w:r>
      <w:r w:rsidR="004C33D4" w:rsidRPr="00CC27F9">
        <w:rPr>
          <w:rFonts w:ascii="Arial" w:eastAsia="Times New Roman" w:hAnsi="Arial"/>
          <w:b/>
          <w:sz w:val="22"/>
          <w:szCs w:val="22"/>
        </w:rPr>
        <w:t xml:space="preserve">WYDZIAŁ </w:t>
      </w:r>
      <w:r w:rsidR="00CC27F9">
        <w:rPr>
          <w:rFonts w:ascii="Arial" w:eastAsia="Times New Roman" w:hAnsi="Arial"/>
          <w:b/>
          <w:sz w:val="22"/>
          <w:szCs w:val="22"/>
        </w:rPr>
        <w:t>….</w:t>
      </w:r>
      <w:r w:rsidR="004C33D4" w:rsidRPr="00CC27F9">
        <w:rPr>
          <w:rFonts w:ascii="Arial" w:eastAsia="Times New Roman" w:hAnsi="Arial"/>
          <w:b/>
          <w:sz w:val="22"/>
          <w:szCs w:val="22"/>
        </w:rPr>
        <w:t xml:space="preserve"> KARNY</w:t>
      </w:r>
    </w:p>
    <w:p w14:paraId="06AE964C" w14:textId="4EE002F2" w:rsidR="00E0454E" w:rsidRPr="00CC27F9" w:rsidRDefault="00B74EF1" w:rsidP="00ED510C">
      <w:pPr>
        <w:tabs>
          <w:tab w:val="left" w:pos="4536"/>
        </w:tabs>
        <w:spacing w:line="366" w:lineRule="auto"/>
        <w:rPr>
          <w:rFonts w:ascii="Arial" w:eastAsia="Times New Roman" w:hAnsi="Arial"/>
          <w:sz w:val="22"/>
          <w:szCs w:val="22"/>
        </w:rPr>
      </w:pPr>
      <w:r w:rsidRPr="00CC27F9">
        <w:rPr>
          <w:rFonts w:ascii="Arial" w:eastAsia="Times New Roman" w:hAnsi="Arial"/>
          <w:b/>
          <w:sz w:val="22"/>
          <w:szCs w:val="22"/>
        </w:rPr>
        <w:tab/>
      </w:r>
      <w:r w:rsidR="00E0454E" w:rsidRPr="00CC27F9">
        <w:rPr>
          <w:rFonts w:ascii="Arial" w:eastAsia="Times New Roman" w:hAnsi="Arial"/>
          <w:sz w:val="22"/>
          <w:szCs w:val="22"/>
        </w:rPr>
        <w:t xml:space="preserve">ul. </w:t>
      </w:r>
      <w:r w:rsidR="00CC27F9">
        <w:rPr>
          <w:rFonts w:ascii="Arial" w:eastAsia="Times New Roman" w:hAnsi="Arial"/>
          <w:sz w:val="22"/>
          <w:szCs w:val="22"/>
        </w:rPr>
        <w:t>…………….</w:t>
      </w:r>
    </w:p>
    <w:p w14:paraId="1D9F503C" w14:textId="61505033" w:rsidR="002128E4" w:rsidRPr="00CC27F9" w:rsidRDefault="002128E4" w:rsidP="00ED510C">
      <w:pPr>
        <w:tabs>
          <w:tab w:val="left" w:pos="4536"/>
        </w:tabs>
        <w:spacing w:line="366" w:lineRule="auto"/>
        <w:rPr>
          <w:rFonts w:ascii="Arial" w:eastAsia="Times New Roman" w:hAnsi="Arial"/>
          <w:sz w:val="22"/>
          <w:szCs w:val="22"/>
        </w:rPr>
      </w:pPr>
      <w:r w:rsidRPr="00CC27F9">
        <w:rPr>
          <w:rFonts w:ascii="Arial" w:eastAsia="Times New Roman" w:hAnsi="Arial"/>
          <w:sz w:val="22"/>
          <w:szCs w:val="22"/>
        </w:rPr>
        <w:tab/>
      </w:r>
      <w:r w:rsidR="00CC27F9">
        <w:rPr>
          <w:rFonts w:ascii="Arial" w:eastAsia="Times New Roman" w:hAnsi="Arial"/>
          <w:sz w:val="22"/>
          <w:szCs w:val="22"/>
        </w:rPr>
        <w:t>……………….</w:t>
      </w:r>
    </w:p>
    <w:p w14:paraId="565EB193" w14:textId="135A4ED3" w:rsidR="00E0454E" w:rsidRPr="00CC27F9" w:rsidRDefault="00E0454E" w:rsidP="00ED510C">
      <w:pPr>
        <w:tabs>
          <w:tab w:val="left" w:pos="4536"/>
        </w:tabs>
        <w:spacing w:line="366" w:lineRule="auto"/>
        <w:rPr>
          <w:rFonts w:ascii="Arial" w:eastAsia="Times New Roman" w:hAnsi="Arial"/>
          <w:sz w:val="22"/>
          <w:szCs w:val="22"/>
        </w:rPr>
      </w:pPr>
      <w:r w:rsidRPr="00CC27F9">
        <w:rPr>
          <w:rFonts w:ascii="Arial" w:eastAsia="Times New Roman" w:hAnsi="Arial"/>
          <w:sz w:val="22"/>
          <w:szCs w:val="22"/>
        </w:rPr>
        <w:tab/>
      </w:r>
    </w:p>
    <w:p w14:paraId="0C6D45A3" w14:textId="33FE7C0D" w:rsidR="00B74EF1" w:rsidRPr="00CC27F9" w:rsidRDefault="00B74EF1" w:rsidP="00B74EF1">
      <w:pPr>
        <w:tabs>
          <w:tab w:val="left" w:pos="2410"/>
        </w:tabs>
        <w:spacing w:line="362" w:lineRule="auto"/>
        <w:rPr>
          <w:rFonts w:ascii="Arial" w:eastAsia="Times New Roman" w:hAnsi="Arial"/>
          <w:b/>
          <w:sz w:val="22"/>
          <w:szCs w:val="22"/>
        </w:rPr>
      </w:pPr>
      <w:r w:rsidRPr="00CC27F9">
        <w:rPr>
          <w:rFonts w:ascii="Arial" w:eastAsia="Times New Roman" w:hAnsi="Arial"/>
          <w:b/>
          <w:sz w:val="22"/>
          <w:szCs w:val="22"/>
        </w:rPr>
        <w:t>Sygn. akt:</w:t>
      </w:r>
      <w:r w:rsidRPr="00CC27F9">
        <w:rPr>
          <w:rFonts w:ascii="Arial" w:eastAsia="Times New Roman" w:hAnsi="Arial"/>
          <w:b/>
          <w:sz w:val="22"/>
          <w:szCs w:val="22"/>
        </w:rPr>
        <w:tab/>
      </w:r>
      <w:r w:rsidR="002128E4" w:rsidRPr="00CC27F9">
        <w:rPr>
          <w:rFonts w:ascii="Arial" w:eastAsia="Times New Roman" w:hAnsi="Arial"/>
          <w:b/>
          <w:sz w:val="22"/>
          <w:szCs w:val="22"/>
        </w:rPr>
        <w:tab/>
      </w:r>
      <w:r w:rsidR="00CC27F9" w:rsidRPr="00CC27F9">
        <w:rPr>
          <w:rFonts w:ascii="Arial" w:eastAsia="Times New Roman" w:hAnsi="Arial"/>
          <w:b/>
          <w:sz w:val="22"/>
          <w:szCs w:val="22"/>
        </w:rPr>
        <w:t>…………………..</w:t>
      </w:r>
    </w:p>
    <w:p w14:paraId="57152FE4" w14:textId="5737B4B4" w:rsidR="00B74EF1" w:rsidRPr="00CC27F9" w:rsidRDefault="00CC27F9" w:rsidP="00B74EF1">
      <w:pPr>
        <w:tabs>
          <w:tab w:val="left" w:pos="2410"/>
        </w:tabs>
        <w:spacing w:line="362" w:lineRule="auto"/>
        <w:jc w:val="both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>Oskarżony</w:t>
      </w:r>
      <w:r w:rsidR="00B74EF1" w:rsidRPr="00CC27F9">
        <w:rPr>
          <w:rFonts w:ascii="Arial" w:eastAsia="Times New Roman" w:hAnsi="Arial"/>
          <w:b/>
          <w:sz w:val="22"/>
          <w:szCs w:val="22"/>
        </w:rPr>
        <w:t>:</w:t>
      </w:r>
      <w:r w:rsidR="00B74EF1" w:rsidRPr="00CC27F9">
        <w:rPr>
          <w:rFonts w:ascii="Arial" w:eastAsia="Times New Roman" w:hAnsi="Arial"/>
          <w:sz w:val="22"/>
          <w:szCs w:val="22"/>
        </w:rPr>
        <w:tab/>
      </w:r>
      <w:r w:rsidR="002128E4" w:rsidRPr="00CC27F9"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b/>
          <w:bCs/>
          <w:sz w:val="22"/>
          <w:szCs w:val="22"/>
        </w:rPr>
        <w:t>………………….</w:t>
      </w:r>
      <w:r w:rsidR="00712D03" w:rsidRPr="00CC27F9">
        <w:rPr>
          <w:rFonts w:ascii="Arial" w:eastAsia="Times New Roman" w:hAnsi="Arial"/>
          <w:sz w:val="22"/>
          <w:szCs w:val="22"/>
        </w:rPr>
        <w:t xml:space="preserve">, </w:t>
      </w:r>
      <w:r w:rsidR="00883A1B" w:rsidRPr="00CC27F9">
        <w:rPr>
          <w:rFonts w:ascii="Arial" w:eastAsia="Times New Roman" w:hAnsi="Arial"/>
          <w:sz w:val="22"/>
          <w:szCs w:val="22"/>
        </w:rPr>
        <w:t>adres w aktach</w:t>
      </w:r>
    </w:p>
    <w:p w14:paraId="30800F3F" w14:textId="71AE4F98" w:rsidR="004A10C0" w:rsidRPr="00CC27F9" w:rsidRDefault="00B74EF1" w:rsidP="002128E4">
      <w:pPr>
        <w:tabs>
          <w:tab w:val="left" w:pos="2410"/>
        </w:tabs>
        <w:spacing w:line="362" w:lineRule="auto"/>
        <w:ind w:left="2880" w:hanging="720"/>
        <w:jc w:val="both"/>
        <w:rPr>
          <w:rFonts w:ascii="Arial" w:eastAsia="Times New Roman" w:hAnsi="Arial"/>
          <w:bCs/>
          <w:sz w:val="22"/>
          <w:szCs w:val="22"/>
        </w:rPr>
      </w:pPr>
      <w:r w:rsidRPr="00CC27F9">
        <w:rPr>
          <w:rFonts w:ascii="Arial" w:eastAsia="Times New Roman" w:hAnsi="Arial"/>
          <w:b/>
          <w:sz w:val="22"/>
          <w:szCs w:val="22"/>
        </w:rPr>
        <w:tab/>
      </w:r>
      <w:r w:rsidR="002128E4" w:rsidRPr="00CC27F9">
        <w:rPr>
          <w:rFonts w:ascii="Arial" w:eastAsia="Times New Roman" w:hAnsi="Arial"/>
          <w:b/>
          <w:sz w:val="22"/>
          <w:szCs w:val="22"/>
        </w:rPr>
        <w:tab/>
      </w:r>
      <w:r w:rsidRPr="00CC27F9">
        <w:rPr>
          <w:rFonts w:ascii="Arial" w:eastAsia="Times New Roman" w:hAnsi="Arial"/>
          <w:sz w:val="22"/>
          <w:szCs w:val="22"/>
        </w:rPr>
        <w:t>działając</w:t>
      </w:r>
      <w:r w:rsidR="00883A1B" w:rsidRPr="00CC27F9">
        <w:rPr>
          <w:rFonts w:ascii="Arial" w:eastAsia="Times New Roman" w:hAnsi="Arial"/>
          <w:sz w:val="22"/>
          <w:szCs w:val="22"/>
        </w:rPr>
        <w:t>y</w:t>
      </w:r>
      <w:r w:rsidRPr="00CC27F9">
        <w:rPr>
          <w:rFonts w:ascii="Arial" w:eastAsia="Times New Roman" w:hAnsi="Arial"/>
          <w:sz w:val="22"/>
          <w:szCs w:val="22"/>
        </w:rPr>
        <w:t xml:space="preserve"> wraz z </w:t>
      </w:r>
      <w:r w:rsidR="008F5FD8">
        <w:rPr>
          <w:rFonts w:ascii="Arial" w:eastAsia="Times New Roman" w:hAnsi="Arial"/>
          <w:sz w:val="22"/>
          <w:szCs w:val="22"/>
        </w:rPr>
        <w:t>obrońcą</w:t>
      </w:r>
      <w:r w:rsidR="00712D03" w:rsidRPr="00CC27F9">
        <w:rPr>
          <w:rFonts w:ascii="Arial" w:eastAsia="Times New Roman" w:hAnsi="Arial"/>
          <w:sz w:val="22"/>
          <w:szCs w:val="22"/>
        </w:rPr>
        <w:t xml:space="preserve"> z urzędu</w:t>
      </w:r>
      <w:r w:rsidRPr="00CC27F9">
        <w:rPr>
          <w:rFonts w:ascii="Arial" w:eastAsia="Times New Roman" w:hAnsi="Arial"/>
          <w:sz w:val="22"/>
          <w:szCs w:val="22"/>
        </w:rPr>
        <w:t xml:space="preserve"> </w:t>
      </w:r>
      <w:r w:rsidR="008F5FD8">
        <w:rPr>
          <w:rFonts w:ascii="Arial" w:eastAsia="Times New Roman" w:hAnsi="Arial"/>
          <w:sz w:val="22"/>
          <w:szCs w:val="22"/>
        </w:rPr>
        <w:t>…………………….</w:t>
      </w:r>
    </w:p>
    <w:p w14:paraId="399CDB57" w14:textId="3BD5AFCA" w:rsidR="00ED510C" w:rsidRPr="00CC27F9" w:rsidRDefault="00ED510C" w:rsidP="00043BE3">
      <w:pPr>
        <w:tabs>
          <w:tab w:val="left" w:pos="2410"/>
        </w:tabs>
        <w:spacing w:line="362" w:lineRule="auto"/>
        <w:ind w:left="720" w:hanging="720"/>
        <w:jc w:val="both"/>
        <w:rPr>
          <w:rFonts w:ascii="Arial" w:eastAsia="Times New Roman" w:hAnsi="Arial"/>
          <w:sz w:val="22"/>
          <w:szCs w:val="22"/>
        </w:rPr>
      </w:pPr>
    </w:p>
    <w:p w14:paraId="39803765" w14:textId="1E1BAC35" w:rsidR="002128E4" w:rsidRPr="00CC27F9" w:rsidRDefault="00252663" w:rsidP="00ED510C">
      <w:pPr>
        <w:tabs>
          <w:tab w:val="left" w:pos="4536"/>
        </w:tabs>
        <w:spacing w:line="366" w:lineRule="auto"/>
        <w:jc w:val="center"/>
        <w:rPr>
          <w:rFonts w:ascii="Arial" w:eastAsia="Times New Roman" w:hAnsi="Arial"/>
          <w:b/>
          <w:sz w:val="22"/>
          <w:szCs w:val="22"/>
        </w:rPr>
      </w:pPr>
      <w:r w:rsidRPr="00CC27F9">
        <w:rPr>
          <w:rFonts w:ascii="Arial" w:eastAsia="Times New Roman" w:hAnsi="Arial"/>
          <w:b/>
          <w:sz w:val="22"/>
          <w:szCs w:val="22"/>
        </w:rPr>
        <w:t>ZAŻALENIE</w:t>
      </w:r>
    </w:p>
    <w:p w14:paraId="26AA2EAB" w14:textId="345A4953" w:rsidR="00252663" w:rsidRPr="00CC27F9" w:rsidRDefault="00252663" w:rsidP="00ED510C">
      <w:pPr>
        <w:tabs>
          <w:tab w:val="left" w:pos="4536"/>
        </w:tabs>
        <w:spacing w:line="366" w:lineRule="auto"/>
        <w:jc w:val="center"/>
        <w:rPr>
          <w:rFonts w:ascii="Arial" w:eastAsia="Times New Roman" w:hAnsi="Arial"/>
          <w:b/>
          <w:sz w:val="22"/>
          <w:szCs w:val="22"/>
        </w:rPr>
      </w:pPr>
      <w:r w:rsidRPr="00CC27F9">
        <w:rPr>
          <w:rFonts w:ascii="Arial" w:eastAsia="Times New Roman" w:hAnsi="Arial"/>
          <w:b/>
          <w:sz w:val="22"/>
          <w:szCs w:val="22"/>
        </w:rPr>
        <w:t>na postanowienie Sądu II instancji</w:t>
      </w:r>
    </w:p>
    <w:p w14:paraId="06BBB48C" w14:textId="391984F3" w:rsidR="00252663" w:rsidRPr="00CC27F9" w:rsidRDefault="00252663" w:rsidP="00ED510C">
      <w:pPr>
        <w:tabs>
          <w:tab w:val="left" w:pos="4536"/>
        </w:tabs>
        <w:spacing w:line="366" w:lineRule="auto"/>
        <w:jc w:val="center"/>
        <w:rPr>
          <w:rFonts w:ascii="Arial" w:eastAsia="Times New Roman" w:hAnsi="Arial"/>
          <w:b/>
          <w:sz w:val="22"/>
          <w:szCs w:val="22"/>
        </w:rPr>
      </w:pPr>
      <w:r w:rsidRPr="00CC27F9">
        <w:rPr>
          <w:rFonts w:ascii="Arial" w:eastAsia="Times New Roman" w:hAnsi="Arial"/>
          <w:b/>
          <w:sz w:val="22"/>
          <w:szCs w:val="22"/>
        </w:rPr>
        <w:t>w przedmiocie zwrotu kosztów nieopłaconej pomocy prawnej</w:t>
      </w:r>
    </w:p>
    <w:p w14:paraId="663772DD" w14:textId="783E8018" w:rsidR="00B34207" w:rsidRPr="00CC27F9" w:rsidRDefault="00B34207" w:rsidP="00ED510C">
      <w:pPr>
        <w:tabs>
          <w:tab w:val="left" w:pos="4536"/>
        </w:tabs>
        <w:spacing w:line="366" w:lineRule="auto"/>
        <w:jc w:val="center"/>
        <w:rPr>
          <w:rFonts w:ascii="Arial" w:eastAsia="Times New Roman" w:hAnsi="Arial"/>
          <w:b/>
          <w:sz w:val="22"/>
          <w:szCs w:val="22"/>
        </w:rPr>
      </w:pPr>
    </w:p>
    <w:p w14:paraId="1107BB0E" w14:textId="4CF64D8A" w:rsidR="00252663" w:rsidRDefault="00B34207" w:rsidP="00461056">
      <w:pPr>
        <w:tabs>
          <w:tab w:val="left" w:pos="4536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  <w:r w:rsidRPr="007C3099">
        <w:rPr>
          <w:rFonts w:ascii="Arial" w:eastAsia="Times New Roman" w:hAnsi="Arial"/>
          <w:sz w:val="22"/>
          <w:szCs w:val="22"/>
        </w:rPr>
        <w:t>Działając</w:t>
      </w:r>
      <w:r w:rsidR="00644D90" w:rsidRPr="007C3099">
        <w:rPr>
          <w:rFonts w:ascii="Arial" w:eastAsia="Times New Roman" w:hAnsi="Arial"/>
          <w:sz w:val="22"/>
          <w:szCs w:val="22"/>
        </w:rPr>
        <w:t xml:space="preserve"> </w:t>
      </w:r>
      <w:r w:rsidR="00883A1B" w:rsidRPr="007C3099">
        <w:rPr>
          <w:rFonts w:ascii="Arial" w:eastAsia="Times New Roman" w:hAnsi="Arial"/>
          <w:b/>
          <w:bCs/>
          <w:sz w:val="22"/>
          <w:szCs w:val="22"/>
        </w:rPr>
        <w:t>we własnym imieniu</w:t>
      </w:r>
      <w:r w:rsidR="00883A1B" w:rsidRPr="007C3099">
        <w:rPr>
          <w:rFonts w:ascii="Arial" w:eastAsia="Times New Roman" w:hAnsi="Arial"/>
          <w:sz w:val="22"/>
          <w:szCs w:val="22"/>
        </w:rPr>
        <w:t xml:space="preserve">, </w:t>
      </w:r>
      <w:r w:rsidR="00A37329" w:rsidRPr="007C3099">
        <w:rPr>
          <w:rFonts w:ascii="Arial" w:eastAsia="Times New Roman" w:hAnsi="Arial"/>
          <w:sz w:val="22"/>
          <w:szCs w:val="22"/>
        </w:rPr>
        <w:t xml:space="preserve">jako </w:t>
      </w:r>
      <w:r w:rsidR="00CC27F9" w:rsidRPr="007C3099">
        <w:rPr>
          <w:rFonts w:ascii="Arial" w:eastAsia="Times New Roman" w:hAnsi="Arial"/>
          <w:sz w:val="22"/>
          <w:szCs w:val="22"/>
        </w:rPr>
        <w:t>obrońca</w:t>
      </w:r>
      <w:r w:rsidR="00A37329" w:rsidRPr="007C3099">
        <w:rPr>
          <w:rFonts w:ascii="Arial" w:eastAsia="Times New Roman" w:hAnsi="Arial"/>
          <w:sz w:val="22"/>
          <w:szCs w:val="22"/>
        </w:rPr>
        <w:t xml:space="preserve"> z urzędu </w:t>
      </w:r>
      <w:r w:rsidR="00CC27F9" w:rsidRPr="007C3099">
        <w:rPr>
          <w:rFonts w:ascii="Arial" w:eastAsia="Times New Roman" w:hAnsi="Arial"/>
          <w:sz w:val="22"/>
          <w:szCs w:val="22"/>
        </w:rPr>
        <w:t xml:space="preserve">dla oskarżonego ………………………………………. na podstawie art. </w:t>
      </w:r>
      <w:r w:rsidR="00DD29A5" w:rsidRPr="007C3099">
        <w:rPr>
          <w:rFonts w:ascii="Arial" w:eastAsia="Times New Roman" w:hAnsi="Arial"/>
          <w:sz w:val="22"/>
          <w:szCs w:val="22"/>
        </w:rPr>
        <w:t>626 par. 3</w:t>
      </w:r>
      <w:r w:rsidR="00CC27F9" w:rsidRPr="007C3099">
        <w:rPr>
          <w:rFonts w:ascii="Arial" w:eastAsia="Times New Roman" w:hAnsi="Arial"/>
          <w:sz w:val="22"/>
          <w:szCs w:val="22"/>
        </w:rPr>
        <w:t xml:space="preserve"> kodeksu postępowania karnego w związku z art. 426 par. 2 kodeksu </w:t>
      </w:r>
      <w:r w:rsidR="0066137B">
        <w:rPr>
          <w:rFonts w:ascii="Arial" w:eastAsia="Times New Roman" w:hAnsi="Arial"/>
          <w:sz w:val="22"/>
          <w:szCs w:val="22"/>
        </w:rPr>
        <w:t xml:space="preserve">postępowania karnego </w:t>
      </w:r>
      <w:r w:rsidR="00CC27F9" w:rsidRPr="007C3099">
        <w:rPr>
          <w:rFonts w:ascii="Arial" w:eastAsia="Times New Roman" w:hAnsi="Arial"/>
          <w:b/>
          <w:bCs/>
          <w:sz w:val="22"/>
          <w:szCs w:val="22"/>
        </w:rPr>
        <w:t xml:space="preserve">zaskarżam </w:t>
      </w:r>
      <w:r w:rsidR="00F05E20">
        <w:rPr>
          <w:rFonts w:ascii="Arial" w:eastAsia="Times New Roman" w:hAnsi="Arial"/>
          <w:b/>
          <w:bCs/>
          <w:sz w:val="22"/>
          <w:szCs w:val="22"/>
        </w:rPr>
        <w:t xml:space="preserve">w części </w:t>
      </w:r>
      <w:r w:rsidR="0066137B">
        <w:rPr>
          <w:rFonts w:ascii="Arial" w:eastAsia="Times New Roman" w:hAnsi="Arial"/>
          <w:b/>
          <w:bCs/>
          <w:sz w:val="22"/>
          <w:szCs w:val="22"/>
        </w:rPr>
        <w:br/>
      </w:r>
      <w:r w:rsidR="00A17066">
        <w:rPr>
          <w:rFonts w:ascii="Arial" w:eastAsia="Times New Roman" w:hAnsi="Arial"/>
          <w:sz w:val="22"/>
          <w:szCs w:val="22"/>
        </w:rPr>
        <w:t xml:space="preserve">tj. </w:t>
      </w:r>
      <w:r w:rsidR="00CC27F9" w:rsidRPr="007C3099">
        <w:rPr>
          <w:rFonts w:ascii="Arial" w:eastAsia="Times New Roman" w:hAnsi="Arial"/>
          <w:sz w:val="22"/>
          <w:szCs w:val="22"/>
        </w:rPr>
        <w:t xml:space="preserve">co do kwoty </w:t>
      </w:r>
      <w:r w:rsidR="007C3099" w:rsidRPr="00215D29">
        <w:rPr>
          <w:rFonts w:ascii="Arial" w:eastAsia="Times New Roman" w:hAnsi="Arial"/>
          <w:b/>
          <w:bCs/>
          <w:sz w:val="22"/>
          <w:szCs w:val="22"/>
        </w:rPr>
        <w:t>516,60 zł</w:t>
      </w:r>
      <w:r w:rsidR="00CC27F9" w:rsidRPr="007C3099">
        <w:rPr>
          <w:rFonts w:ascii="Arial" w:eastAsia="Times New Roman" w:hAnsi="Arial"/>
          <w:sz w:val="22"/>
          <w:szCs w:val="22"/>
        </w:rPr>
        <w:t xml:space="preserve"> postanowienie zawarte w</w:t>
      </w:r>
      <w:r w:rsidR="00F05E20">
        <w:rPr>
          <w:rFonts w:ascii="Arial" w:eastAsia="Times New Roman" w:hAnsi="Arial"/>
          <w:sz w:val="22"/>
          <w:szCs w:val="22"/>
        </w:rPr>
        <w:t xml:space="preserve"> pkt. ……</w:t>
      </w:r>
      <w:r w:rsidR="00CC27F9" w:rsidRPr="007C3099">
        <w:rPr>
          <w:rFonts w:ascii="Arial" w:eastAsia="Times New Roman" w:hAnsi="Arial"/>
          <w:sz w:val="22"/>
          <w:szCs w:val="22"/>
        </w:rPr>
        <w:t xml:space="preserve"> wyroku </w:t>
      </w:r>
      <w:r w:rsidR="00215D29">
        <w:rPr>
          <w:rFonts w:ascii="Arial" w:eastAsia="Times New Roman" w:hAnsi="Arial"/>
          <w:sz w:val="22"/>
          <w:szCs w:val="22"/>
        </w:rPr>
        <w:t>Sądu Okręgowego …………….</w:t>
      </w:r>
      <w:r w:rsidR="00CC27F9" w:rsidRPr="007C3099">
        <w:rPr>
          <w:rFonts w:ascii="Arial" w:eastAsia="Times New Roman" w:hAnsi="Arial"/>
          <w:sz w:val="22"/>
          <w:szCs w:val="22"/>
        </w:rPr>
        <w:t xml:space="preserve"> z dnia …………… w przedmiocie przyznania </w:t>
      </w:r>
      <w:r w:rsidR="00F05E20">
        <w:rPr>
          <w:rFonts w:ascii="Arial" w:eastAsia="Times New Roman" w:hAnsi="Arial"/>
          <w:sz w:val="22"/>
          <w:szCs w:val="22"/>
        </w:rPr>
        <w:t xml:space="preserve">mi </w:t>
      </w:r>
      <w:r w:rsidR="00A17066" w:rsidRPr="007C3099">
        <w:rPr>
          <w:rFonts w:ascii="Arial" w:eastAsia="Times New Roman" w:hAnsi="Arial"/>
          <w:sz w:val="22"/>
          <w:szCs w:val="22"/>
        </w:rPr>
        <w:t xml:space="preserve">kwoty </w:t>
      </w:r>
      <w:r w:rsidR="007C3099" w:rsidRPr="007C3099">
        <w:rPr>
          <w:rFonts w:ascii="Arial" w:eastAsia="Times New Roman" w:hAnsi="Arial"/>
          <w:sz w:val="22"/>
          <w:szCs w:val="22"/>
        </w:rPr>
        <w:t>420 zł + VAT (516,60 zł)</w:t>
      </w:r>
      <w:r w:rsidR="00CC27F9" w:rsidRPr="007C3099">
        <w:rPr>
          <w:rFonts w:ascii="Arial" w:eastAsia="Times New Roman" w:hAnsi="Arial"/>
          <w:sz w:val="22"/>
          <w:szCs w:val="22"/>
        </w:rPr>
        <w:t xml:space="preserve"> tytułem wynagrodzenia za pomoc prawną udzieloną z urzędu</w:t>
      </w:r>
      <w:r w:rsidR="007C3099" w:rsidRPr="007C3099">
        <w:rPr>
          <w:rFonts w:ascii="Arial" w:eastAsia="Times New Roman" w:hAnsi="Arial"/>
          <w:sz w:val="22"/>
          <w:szCs w:val="22"/>
        </w:rPr>
        <w:t xml:space="preserve"> w postępowaniu przed Sądem II instancji.</w:t>
      </w:r>
    </w:p>
    <w:p w14:paraId="067CAF0C" w14:textId="7854227E" w:rsidR="00CC27F9" w:rsidRDefault="00CC27F9" w:rsidP="00461056">
      <w:pPr>
        <w:tabs>
          <w:tab w:val="left" w:pos="4536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</w:p>
    <w:p w14:paraId="37CC784F" w14:textId="34E4EF90" w:rsidR="007C3099" w:rsidRPr="007C3099" w:rsidRDefault="00CC27F9" w:rsidP="007C3099">
      <w:pPr>
        <w:tabs>
          <w:tab w:val="left" w:pos="4536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  <w:r w:rsidRPr="007C3099">
        <w:rPr>
          <w:rFonts w:ascii="Arial" w:eastAsia="Times New Roman" w:hAnsi="Arial"/>
          <w:sz w:val="22"/>
          <w:szCs w:val="22"/>
        </w:rPr>
        <w:t>Wskazuję, że wyrok został mi doręczony wraz z uzasadnieniem w dniu ……………</w:t>
      </w:r>
      <w:r w:rsidR="007C3099" w:rsidRPr="007C3099">
        <w:rPr>
          <w:rFonts w:ascii="Arial" w:eastAsia="Times New Roman" w:hAnsi="Arial"/>
          <w:sz w:val="22"/>
          <w:szCs w:val="22"/>
        </w:rPr>
        <w:t xml:space="preserve"> i zgodnie z treścią art. 460 KPK zaskarżam postanowienie zawarte </w:t>
      </w:r>
      <w:r w:rsidR="00215D29">
        <w:rPr>
          <w:rFonts w:ascii="Arial" w:eastAsia="Times New Roman" w:hAnsi="Arial"/>
          <w:sz w:val="22"/>
          <w:szCs w:val="22"/>
        </w:rPr>
        <w:t>w otwartym 7-dniowym terminie</w:t>
      </w:r>
      <w:r w:rsidR="007C3099" w:rsidRPr="007C3099">
        <w:rPr>
          <w:rFonts w:ascii="Arial" w:eastAsia="Times New Roman" w:hAnsi="Arial"/>
          <w:sz w:val="22"/>
          <w:szCs w:val="22"/>
        </w:rPr>
        <w:t>, mając na uwadze, że</w:t>
      </w:r>
      <w:r w:rsidR="007C3099" w:rsidRPr="007C3099">
        <w:rPr>
          <w:rFonts w:ascii="Arial" w:hAnsi="Arial"/>
          <w:sz w:val="22"/>
          <w:szCs w:val="22"/>
          <w:shd w:val="clear" w:color="auto" w:fill="FFFFFF"/>
        </w:rPr>
        <w:t xml:space="preserve"> wypadku złożenia wniosku o sporządzenie na piśmie oraz doręczenie uzasadnienia wyroku termin ten wynosi 7 dni, ale biegnie od daty doręczenia wyroku </w:t>
      </w:r>
      <w:r w:rsidR="007C3099" w:rsidRPr="007C3099">
        <w:rPr>
          <w:rFonts w:ascii="Arial" w:hAnsi="Arial"/>
          <w:sz w:val="22"/>
          <w:szCs w:val="22"/>
          <w:shd w:val="clear" w:color="auto" w:fill="FFFFFF"/>
        </w:rPr>
        <w:br/>
        <w:t>z uzasadnieniem (tak: D. Świecki, Kodeks postępowania karnego. Komentarz aktualizowany)</w:t>
      </w:r>
    </w:p>
    <w:p w14:paraId="36F11F5F" w14:textId="77777777" w:rsidR="00CC27F9" w:rsidRPr="00CC27F9" w:rsidRDefault="00CC27F9" w:rsidP="00461056">
      <w:pPr>
        <w:tabs>
          <w:tab w:val="left" w:pos="4536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</w:p>
    <w:p w14:paraId="0A872F29" w14:textId="481AAD77" w:rsidR="00252663" w:rsidRPr="00215D29" w:rsidRDefault="00252663" w:rsidP="00215D29">
      <w:pPr>
        <w:tabs>
          <w:tab w:val="left" w:pos="4536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  <w:r w:rsidRPr="00CC27F9">
        <w:rPr>
          <w:rFonts w:ascii="Arial" w:eastAsia="Times New Roman" w:hAnsi="Arial"/>
          <w:sz w:val="22"/>
          <w:szCs w:val="22"/>
        </w:rPr>
        <w:t>Zaskarżonemu postanowieniu</w:t>
      </w:r>
      <w:r w:rsidR="00215D29">
        <w:rPr>
          <w:rFonts w:ascii="Arial" w:eastAsia="Times New Roman" w:hAnsi="Arial"/>
          <w:sz w:val="22"/>
          <w:szCs w:val="22"/>
        </w:rPr>
        <w:t xml:space="preserve"> </w:t>
      </w:r>
      <w:r w:rsidR="00215D29" w:rsidRPr="00215D29">
        <w:rPr>
          <w:rFonts w:ascii="Arial" w:eastAsia="Times New Roman" w:hAnsi="Arial"/>
          <w:b/>
          <w:bCs/>
          <w:sz w:val="22"/>
          <w:szCs w:val="22"/>
        </w:rPr>
        <w:t xml:space="preserve">na podstawie art. 438 par. </w:t>
      </w:r>
      <w:r w:rsidR="00376575">
        <w:rPr>
          <w:rFonts w:ascii="Arial" w:eastAsia="Times New Roman" w:hAnsi="Arial"/>
          <w:b/>
          <w:bCs/>
          <w:sz w:val="22"/>
          <w:szCs w:val="22"/>
        </w:rPr>
        <w:t>2</w:t>
      </w:r>
      <w:r w:rsidR="00215D29" w:rsidRPr="00215D29">
        <w:rPr>
          <w:rFonts w:ascii="Arial" w:eastAsia="Times New Roman" w:hAnsi="Arial"/>
          <w:b/>
          <w:bCs/>
          <w:sz w:val="22"/>
          <w:szCs w:val="22"/>
        </w:rPr>
        <w:t xml:space="preserve"> kodeksu postępowania karnego</w:t>
      </w:r>
      <w:r w:rsidRPr="00CC27F9">
        <w:rPr>
          <w:rFonts w:ascii="Arial" w:eastAsia="Times New Roman" w:hAnsi="Arial"/>
          <w:sz w:val="22"/>
          <w:szCs w:val="22"/>
        </w:rPr>
        <w:t xml:space="preserve"> </w:t>
      </w:r>
      <w:r w:rsidRPr="00215D29">
        <w:rPr>
          <w:rFonts w:ascii="Arial" w:eastAsia="Times New Roman" w:hAnsi="Arial"/>
          <w:sz w:val="22"/>
          <w:szCs w:val="22"/>
        </w:rPr>
        <w:t>zarzucam</w:t>
      </w:r>
      <w:r w:rsidR="00215D29">
        <w:rPr>
          <w:rFonts w:ascii="Arial" w:eastAsia="Times New Roman" w:hAnsi="Arial"/>
          <w:sz w:val="22"/>
          <w:szCs w:val="22"/>
        </w:rPr>
        <w:t xml:space="preserve"> </w:t>
      </w:r>
      <w:r w:rsidRPr="00215D29">
        <w:rPr>
          <w:rFonts w:ascii="Arial" w:eastAsia="Times New Roman" w:hAnsi="Arial"/>
          <w:sz w:val="22"/>
          <w:szCs w:val="22"/>
        </w:rPr>
        <w:t xml:space="preserve">obrazę przepisów </w:t>
      </w:r>
      <w:r w:rsidR="00376575">
        <w:rPr>
          <w:rFonts w:ascii="Arial" w:eastAsia="Times New Roman" w:hAnsi="Arial"/>
          <w:sz w:val="22"/>
          <w:szCs w:val="22"/>
        </w:rPr>
        <w:t xml:space="preserve">postępowania, </w:t>
      </w:r>
      <w:r w:rsidR="00256CDE">
        <w:rPr>
          <w:rFonts w:ascii="Arial" w:eastAsia="Times New Roman" w:hAnsi="Arial"/>
          <w:sz w:val="22"/>
          <w:szCs w:val="22"/>
        </w:rPr>
        <w:t>mającą wpływ na treść orzeczenia</w:t>
      </w:r>
      <w:r w:rsidR="00215D29" w:rsidRPr="00215D29">
        <w:rPr>
          <w:rFonts w:ascii="Arial" w:eastAsia="Times New Roman" w:hAnsi="Arial"/>
          <w:sz w:val="22"/>
          <w:szCs w:val="22"/>
        </w:rPr>
        <w:t>,</w:t>
      </w:r>
      <w:r w:rsidR="00215D29">
        <w:rPr>
          <w:rFonts w:ascii="Arial" w:eastAsia="Times New Roman" w:hAnsi="Arial"/>
          <w:sz w:val="22"/>
          <w:szCs w:val="22"/>
        </w:rPr>
        <w:t xml:space="preserve"> a to:</w:t>
      </w:r>
    </w:p>
    <w:p w14:paraId="751E1676" w14:textId="2A033B7D" w:rsidR="00252663" w:rsidRPr="00215D29" w:rsidRDefault="00252663" w:rsidP="00215D29">
      <w:pPr>
        <w:pStyle w:val="Akapitzlist"/>
        <w:numPr>
          <w:ilvl w:val="0"/>
          <w:numId w:val="16"/>
        </w:numPr>
        <w:tabs>
          <w:tab w:val="left" w:pos="4536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  <w:r w:rsidRPr="00215D29">
        <w:rPr>
          <w:rFonts w:ascii="Arial" w:eastAsia="Times New Roman" w:hAnsi="Arial"/>
          <w:b/>
          <w:bCs/>
          <w:sz w:val="22"/>
          <w:szCs w:val="22"/>
        </w:rPr>
        <w:t>§ 2 pkt</w:t>
      </w:r>
      <w:r w:rsidR="00A17066">
        <w:rPr>
          <w:rFonts w:ascii="Arial" w:eastAsia="Times New Roman" w:hAnsi="Arial"/>
          <w:b/>
          <w:bCs/>
          <w:sz w:val="22"/>
          <w:szCs w:val="22"/>
        </w:rPr>
        <w:t xml:space="preserve"> </w:t>
      </w:r>
      <w:r w:rsidRPr="00215D29">
        <w:rPr>
          <w:rFonts w:ascii="Arial" w:eastAsia="Times New Roman" w:hAnsi="Arial"/>
          <w:b/>
          <w:bCs/>
          <w:sz w:val="22"/>
          <w:szCs w:val="22"/>
        </w:rPr>
        <w:t>1</w:t>
      </w:r>
      <w:r w:rsidR="007C3099" w:rsidRPr="00215D29">
        <w:rPr>
          <w:rFonts w:ascii="Arial" w:eastAsia="Times New Roman" w:hAnsi="Arial"/>
          <w:b/>
          <w:bCs/>
          <w:sz w:val="22"/>
          <w:szCs w:val="22"/>
        </w:rPr>
        <w:t xml:space="preserve"> w zw. z</w:t>
      </w:r>
      <w:r w:rsidRPr="00215D29">
        <w:rPr>
          <w:rFonts w:ascii="Arial" w:eastAsia="Times New Roman" w:hAnsi="Arial"/>
          <w:b/>
          <w:bCs/>
          <w:sz w:val="22"/>
          <w:szCs w:val="22"/>
        </w:rPr>
        <w:t xml:space="preserve"> §4 ust. 1 i 3 </w:t>
      </w:r>
      <w:r w:rsidRPr="00A10542">
        <w:rPr>
          <w:rFonts w:ascii="Arial" w:eastAsia="Times New Roman" w:hAnsi="Arial"/>
          <w:b/>
          <w:bCs/>
          <w:sz w:val="22"/>
          <w:szCs w:val="22"/>
        </w:rPr>
        <w:t xml:space="preserve">oraz </w:t>
      </w:r>
      <w:r w:rsidR="00A10542" w:rsidRPr="00A10542">
        <w:rPr>
          <w:rFonts w:ascii="Arial" w:hAnsi="Arial"/>
          <w:b/>
          <w:bCs/>
          <w:iCs/>
          <w:sz w:val="22"/>
          <w:szCs w:val="22"/>
        </w:rPr>
        <w:t>§ 17 ust. 2 pkt. 4</w:t>
      </w:r>
      <w:r w:rsidR="00A10542" w:rsidRPr="00A10542">
        <w:rPr>
          <w:rFonts w:ascii="Arial" w:eastAsia="Times New Roman" w:hAnsi="Arial"/>
          <w:b/>
          <w:bCs/>
          <w:sz w:val="22"/>
          <w:szCs w:val="22"/>
        </w:rPr>
        <w:t xml:space="preserve"> </w:t>
      </w:r>
      <w:r w:rsidRPr="00215D29">
        <w:rPr>
          <w:rFonts w:ascii="Arial" w:eastAsia="Times New Roman" w:hAnsi="Arial"/>
          <w:b/>
          <w:bCs/>
          <w:sz w:val="22"/>
          <w:szCs w:val="22"/>
        </w:rPr>
        <w:t>rozporządzenia Ministra Sprawiedliwości z dnia 3 października 2016 roku w sprawie ponoszenia przez Skarb Państwa kosztów nieopłaconej pomocy prawnej udzielonej przez adwokata z urzędu</w:t>
      </w:r>
      <w:r w:rsidRPr="00215D29">
        <w:rPr>
          <w:rFonts w:ascii="Arial" w:eastAsia="Times New Roman" w:hAnsi="Arial"/>
          <w:sz w:val="22"/>
          <w:szCs w:val="22"/>
        </w:rPr>
        <w:t xml:space="preserve"> poprzez ich zastosowanie do ustalenia wysokości opłaty, podczas gdy </w:t>
      </w:r>
      <w:r w:rsidR="00031750" w:rsidRPr="00215D29">
        <w:rPr>
          <w:rFonts w:ascii="Arial" w:eastAsia="Times New Roman" w:hAnsi="Arial"/>
          <w:sz w:val="22"/>
          <w:szCs w:val="22"/>
        </w:rPr>
        <w:t xml:space="preserve">stawki określone w niniejszym rozporządzeniu w sposób niedopuszczalny różnicują wynagrodzenia adwokata ze względu na przymiot jego </w:t>
      </w:r>
      <w:r w:rsidR="00031750" w:rsidRPr="00215D29">
        <w:rPr>
          <w:rFonts w:ascii="Arial" w:eastAsia="Times New Roman" w:hAnsi="Arial"/>
          <w:sz w:val="22"/>
          <w:szCs w:val="22"/>
        </w:rPr>
        <w:lastRenderedPageBreak/>
        <w:t xml:space="preserve">ustanowienia – z urzędu albo z wyboru – co zostało uznane przez Trybunał Konstytucyjny w wyroku z dnia 23 kwietnia 2020 roku (sygn. akt. SK 66/19) za niezgodne z art. 64 ust. 2 w zw. z art. 31 ust. 3, 32 ust. 1 zdanie drugie i art. 92 ust. 1 zdanie pierwsze Konstytucji RP oraz powoduje – w zakresie ustalenia wysokości opłaty – konieczność zastosowania </w:t>
      </w:r>
      <w:r w:rsidR="00031750" w:rsidRPr="00215D29">
        <w:rPr>
          <w:rFonts w:ascii="Arial" w:hAnsi="Arial"/>
          <w:bCs/>
          <w:iCs/>
          <w:sz w:val="22"/>
          <w:szCs w:val="22"/>
        </w:rPr>
        <w:t>§ 11 ust. 2 pkt.</w:t>
      </w:r>
      <w:r w:rsidR="00A10542">
        <w:rPr>
          <w:rFonts w:ascii="Arial" w:hAnsi="Arial"/>
          <w:bCs/>
          <w:iCs/>
          <w:sz w:val="22"/>
          <w:szCs w:val="22"/>
        </w:rPr>
        <w:t xml:space="preserve"> 4</w:t>
      </w:r>
      <w:r w:rsidR="00031750" w:rsidRPr="00215D29">
        <w:rPr>
          <w:rFonts w:ascii="Arial" w:hAnsi="Arial"/>
          <w:bCs/>
          <w:iCs/>
          <w:sz w:val="22"/>
          <w:szCs w:val="22"/>
        </w:rPr>
        <w:t xml:space="preserve">  </w:t>
      </w:r>
      <w:r w:rsidR="00031750" w:rsidRPr="00215D29">
        <w:rPr>
          <w:rFonts w:ascii="Arial" w:eastAsia="Times New Roman" w:hAnsi="Arial"/>
          <w:sz w:val="22"/>
          <w:szCs w:val="22"/>
        </w:rPr>
        <w:t>rozporządzenia Ministra Sprawiedliwości z dnia 22 października 2015 roku w sprawie opłat za czynności adwokackie, które to stawki stanowią stawki minimalne</w:t>
      </w:r>
      <w:r w:rsidR="00A37329" w:rsidRPr="00215D29">
        <w:rPr>
          <w:rFonts w:ascii="Arial" w:eastAsia="Times New Roman" w:hAnsi="Arial"/>
          <w:sz w:val="22"/>
          <w:szCs w:val="22"/>
        </w:rPr>
        <w:t>;</w:t>
      </w:r>
    </w:p>
    <w:p w14:paraId="4381B7C0" w14:textId="590DF842" w:rsidR="00031750" w:rsidRPr="00CC27F9" w:rsidRDefault="00031750" w:rsidP="00252663">
      <w:pPr>
        <w:pStyle w:val="Akapitzlist"/>
        <w:numPr>
          <w:ilvl w:val="0"/>
          <w:numId w:val="16"/>
        </w:numPr>
        <w:tabs>
          <w:tab w:val="left" w:pos="4536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  <w:r w:rsidRPr="00CC27F9">
        <w:rPr>
          <w:rFonts w:ascii="Arial" w:hAnsi="Arial"/>
          <w:b/>
          <w:iCs/>
          <w:sz w:val="22"/>
          <w:szCs w:val="22"/>
        </w:rPr>
        <w:t>§</w:t>
      </w:r>
      <w:r w:rsidR="008F5FD8">
        <w:rPr>
          <w:rFonts w:ascii="Arial" w:hAnsi="Arial"/>
          <w:b/>
          <w:iCs/>
          <w:sz w:val="22"/>
          <w:szCs w:val="22"/>
        </w:rPr>
        <w:t xml:space="preserve"> </w:t>
      </w:r>
      <w:r w:rsidRPr="00CC27F9">
        <w:rPr>
          <w:rFonts w:ascii="Arial" w:hAnsi="Arial"/>
          <w:b/>
          <w:iCs/>
          <w:sz w:val="22"/>
          <w:szCs w:val="22"/>
        </w:rPr>
        <w:t xml:space="preserve">11 ust. 2 pkt 4 </w:t>
      </w:r>
      <w:r w:rsidRPr="00CC27F9">
        <w:rPr>
          <w:rFonts w:ascii="Arial" w:eastAsia="Times New Roman" w:hAnsi="Arial"/>
          <w:b/>
          <w:sz w:val="22"/>
          <w:szCs w:val="22"/>
        </w:rPr>
        <w:t xml:space="preserve">rozporządzenia Ministra Sprawiedliwości z dnia </w:t>
      </w:r>
      <w:r w:rsidR="00F05E20">
        <w:rPr>
          <w:rFonts w:ascii="Arial" w:eastAsia="Times New Roman" w:hAnsi="Arial"/>
          <w:b/>
          <w:sz w:val="22"/>
          <w:szCs w:val="22"/>
        </w:rPr>
        <w:br/>
      </w:r>
      <w:r w:rsidRPr="00CC27F9">
        <w:rPr>
          <w:rFonts w:ascii="Arial" w:eastAsia="Times New Roman" w:hAnsi="Arial"/>
          <w:b/>
          <w:sz w:val="22"/>
          <w:szCs w:val="22"/>
        </w:rPr>
        <w:t>22 października 2015 roku w sprawie opłat za czynności adwokackie w zw. z art. 8 ust. 2 Konstytucji Rzeczypospolitej Polskiej</w:t>
      </w:r>
      <w:r w:rsidRPr="00CC27F9">
        <w:rPr>
          <w:rFonts w:ascii="Arial" w:eastAsia="Times New Roman" w:hAnsi="Arial"/>
          <w:sz w:val="22"/>
          <w:szCs w:val="22"/>
        </w:rPr>
        <w:t xml:space="preserve"> poprzez ich niezastosowanie do ustalenia wysokości opłaty, podczas gdy wobec uznania przez Trybunał Konstytucyjny niekonstytucyjności różnicowania wynagrodzenia adwokata ze względu na przymiot jego ustanowienia – z urzędu albo z wyboru – Sąd winien był w zakresie ustalenia wysokości opłaty – odmówić zastosowania odpowiednich przepisów rozporządzenia Ministra Sprawiedliwości w sprawie ponoszenia przez Skarb Państwa kosztów nieopłaconej pomocy prawnej i wysokość opłaty ustalić </w:t>
      </w:r>
      <w:r w:rsidR="00F05E20">
        <w:rPr>
          <w:rFonts w:ascii="Arial" w:eastAsia="Times New Roman" w:hAnsi="Arial"/>
          <w:sz w:val="22"/>
          <w:szCs w:val="22"/>
        </w:rPr>
        <w:br/>
      </w:r>
      <w:r w:rsidRPr="00CC27F9">
        <w:rPr>
          <w:rFonts w:ascii="Arial" w:eastAsia="Times New Roman" w:hAnsi="Arial"/>
          <w:sz w:val="22"/>
          <w:szCs w:val="22"/>
        </w:rPr>
        <w:t xml:space="preserve">w oparciu o </w:t>
      </w:r>
      <w:r w:rsidRPr="00CC27F9">
        <w:rPr>
          <w:rFonts w:ascii="Arial" w:hAnsi="Arial"/>
          <w:bCs/>
          <w:iCs/>
          <w:sz w:val="22"/>
          <w:szCs w:val="22"/>
        </w:rPr>
        <w:t xml:space="preserve">§ 11  ust. 2 pkt. 4 </w:t>
      </w:r>
      <w:r w:rsidRPr="00CC27F9">
        <w:rPr>
          <w:rFonts w:ascii="Arial" w:eastAsia="Times New Roman" w:hAnsi="Arial"/>
          <w:sz w:val="22"/>
          <w:szCs w:val="22"/>
        </w:rPr>
        <w:t>rozporządzenia z dnia 22 października 2015 roku, tj. w łącznej wysokości 840 zł + VAT (</w:t>
      </w:r>
      <w:r w:rsidR="00A37329" w:rsidRPr="00CC27F9">
        <w:rPr>
          <w:rFonts w:ascii="Arial" w:eastAsia="Times New Roman" w:hAnsi="Arial"/>
          <w:sz w:val="22"/>
          <w:szCs w:val="22"/>
        </w:rPr>
        <w:t xml:space="preserve">193,20 zł) tj. łącznie 1033,20 zł, co nie nastąpiło i skutkowało zaniżeniem przyznanej opłaty tyłem pomocy prawnej udzielonej </w:t>
      </w:r>
      <w:r w:rsidR="00A10542">
        <w:rPr>
          <w:rFonts w:ascii="Arial" w:eastAsia="Times New Roman" w:hAnsi="Arial"/>
          <w:sz w:val="22"/>
          <w:szCs w:val="22"/>
        </w:rPr>
        <w:t>oskarżonemu</w:t>
      </w:r>
      <w:r w:rsidR="002D6F2E" w:rsidRPr="00CC27F9">
        <w:rPr>
          <w:rFonts w:ascii="Arial" w:eastAsia="Times New Roman" w:hAnsi="Arial"/>
          <w:sz w:val="22"/>
          <w:szCs w:val="22"/>
        </w:rPr>
        <w:t xml:space="preserve"> z urzędu</w:t>
      </w:r>
      <w:r w:rsidR="00A37329" w:rsidRPr="00CC27F9">
        <w:rPr>
          <w:rFonts w:ascii="Arial" w:eastAsia="Times New Roman" w:hAnsi="Arial"/>
          <w:sz w:val="22"/>
          <w:szCs w:val="22"/>
        </w:rPr>
        <w:t xml:space="preserve"> i miało wpływ na treść orzeczenia</w:t>
      </w:r>
    </w:p>
    <w:p w14:paraId="6A935727" w14:textId="3F206AE6" w:rsidR="00A37329" w:rsidRPr="00CC27F9" w:rsidRDefault="00A37329" w:rsidP="00252663">
      <w:pPr>
        <w:pStyle w:val="Akapitzlist"/>
        <w:numPr>
          <w:ilvl w:val="0"/>
          <w:numId w:val="16"/>
        </w:numPr>
        <w:tabs>
          <w:tab w:val="left" w:pos="4536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  <w:r w:rsidRPr="00215D29">
        <w:rPr>
          <w:rFonts w:ascii="Arial" w:eastAsia="Times New Roman" w:hAnsi="Arial"/>
          <w:b/>
          <w:bCs/>
          <w:sz w:val="22"/>
          <w:szCs w:val="22"/>
        </w:rPr>
        <w:t>§</w:t>
      </w:r>
      <w:r w:rsidRPr="00CC27F9">
        <w:rPr>
          <w:rFonts w:ascii="Arial" w:eastAsia="Times New Roman" w:hAnsi="Arial"/>
          <w:b/>
          <w:bCs/>
          <w:sz w:val="22"/>
          <w:szCs w:val="22"/>
        </w:rPr>
        <w:t>4 ust. 2 pkt 1 w zw. §17 ust. 2 pkt. 4 rozporządzenia Ministra Sprawiedliwości z dnia 3 października 2016 roku w sprawie ponoszenia przez Skarb Państwa kosztów nieopłaconej pomocy prawnej udzielonej przez adwokata z urzędu</w:t>
      </w:r>
      <w:r w:rsidRPr="00CC27F9">
        <w:rPr>
          <w:rFonts w:ascii="Arial" w:eastAsia="Times New Roman" w:hAnsi="Arial"/>
          <w:sz w:val="22"/>
          <w:szCs w:val="22"/>
        </w:rPr>
        <w:t xml:space="preserve"> poprzez odmowę jego zastosowani</w:t>
      </w:r>
      <w:r w:rsidR="002D6F2E" w:rsidRPr="00CC27F9">
        <w:rPr>
          <w:rFonts w:ascii="Arial" w:eastAsia="Times New Roman" w:hAnsi="Arial"/>
          <w:sz w:val="22"/>
          <w:szCs w:val="22"/>
        </w:rPr>
        <w:t>a</w:t>
      </w:r>
      <w:r w:rsidRPr="00CC27F9">
        <w:rPr>
          <w:rFonts w:ascii="Arial" w:eastAsia="Times New Roman" w:hAnsi="Arial"/>
          <w:sz w:val="22"/>
          <w:szCs w:val="22"/>
        </w:rPr>
        <w:t>, podczas gdy nakład pracy adwokata nie jest adekwatny do stawki podstawowej określonej w/w rozporządzeniu, albowiem stawka ta pozostaje niezmieniona począwszy od 28 września 2002 roku oraz nie oddaje obecnego nakładu pracy adwokata w porównaniu do poziomu cen oraz warunków rynkowych;</w:t>
      </w:r>
    </w:p>
    <w:p w14:paraId="3203DDAA" w14:textId="054C17F7" w:rsidR="00A37329" w:rsidRPr="00CC27F9" w:rsidRDefault="00A37329" w:rsidP="00A37329">
      <w:pPr>
        <w:tabs>
          <w:tab w:val="left" w:pos="4536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</w:p>
    <w:p w14:paraId="534019C6" w14:textId="3E3DA1C5" w:rsidR="00A37329" w:rsidRPr="00CC27F9" w:rsidRDefault="00A37329" w:rsidP="00A37329">
      <w:pPr>
        <w:tabs>
          <w:tab w:val="left" w:pos="4536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  <w:r w:rsidRPr="00CC27F9">
        <w:rPr>
          <w:rFonts w:ascii="Arial" w:eastAsia="Times New Roman" w:hAnsi="Arial"/>
          <w:sz w:val="22"/>
          <w:szCs w:val="22"/>
        </w:rPr>
        <w:t xml:space="preserve">W oparciu o powyższe zarzuty </w:t>
      </w:r>
      <w:r w:rsidRPr="00CC27F9">
        <w:rPr>
          <w:rFonts w:ascii="Arial" w:eastAsia="Times New Roman" w:hAnsi="Arial"/>
          <w:b/>
          <w:bCs/>
          <w:sz w:val="22"/>
          <w:szCs w:val="22"/>
        </w:rPr>
        <w:t xml:space="preserve">wnoszę o zmianę zaskarżonego postanowienia </w:t>
      </w:r>
      <w:r w:rsidR="00F05E20">
        <w:rPr>
          <w:rFonts w:ascii="Arial" w:eastAsia="Times New Roman" w:hAnsi="Arial"/>
          <w:b/>
          <w:bCs/>
          <w:sz w:val="22"/>
          <w:szCs w:val="22"/>
        </w:rPr>
        <w:br/>
      </w:r>
      <w:r w:rsidRPr="00CC27F9">
        <w:rPr>
          <w:rFonts w:ascii="Arial" w:eastAsia="Times New Roman" w:hAnsi="Arial"/>
          <w:b/>
          <w:bCs/>
          <w:sz w:val="22"/>
          <w:szCs w:val="22"/>
        </w:rPr>
        <w:t xml:space="preserve">w </w:t>
      </w:r>
      <w:r w:rsidR="00EC2599" w:rsidRPr="00CC27F9">
        <w:rPr>
          <w:rFonts w:ascii="Arial" w:eastAsia="Times New Roman" w:hAnsi="Arial"/>
          <w:b/>
          <w:bCs/>
          <w:sz w:val="22"/>
          <w:szCs w:val="22"/>
        </w:rPr>
        <w:t xml:space="preserve">zaskarżonej części </w:t>
      </w:r>
      <w:r w:rsidRPr="00CC27F9">
        <w:rPr>
          <w:rFonts w:ascii="Arial" w:eastAsia="Times New Roman" w:hAnsi="Arial"/>
          <w:sz w:val="22"/>
          <w:szCs w:val="22"/>
        </w:rPr>
        <w:t xml:space="preserve">i przyznanie na moją rzecz ze środków Skarbu Państwa </w:t>
      </w:r>
      <w:r w:rsidRPr="00CC27F9">
        <w:rPr>
          <w:rFonts w:ascii="Arial" w:eastAsia="Times New Roman" w:hAnsi="Arial"/>
          <w:b/>
          <w:bCs/>
          <w:sz w:val="22"/>
          <w:szCs w:val="22"/>
        </w:rPr>
        <w:t>dodatkowo kwoty 516,60 złotych</w:t>
      </w:r>
      <w:r w:rsidRPr="00CC27F9">
        <w:rPr>
          <w:rFonts w:ascii="Arial" w:eastAsia="Times New Roman" w:hAnsi="Arial"/>
          <w:sz w:val="22"/>
          <w:szCs w:val="22"/>
        </w:rPr>
        <w:t xml:space="preserve"> tj. łącznie kwoty 1033,20 złotych tytułem kosztów pomocy prawnej udzielonej </w:t>
      </w:r>
      <w:r w:rsidR="00A10542">
        <w:rPr>
          <w:rFonts w:ascii="Arial" w:eastAsia="Times New Roman" w:hAnsi="Arial"/>
          <w:sz w:val="22"/>
          <w:szCs w:val="22"/>
        </w:rPr>
        <w:t>oskarżonemu</w:t>
      </w:r>
      <w:r w:rsidR="0073204A" w:rsidRPr="00CC27F9">
        <w:rPr>
          <w:rFonts w:ascii="Arial" w:eastAsia="Times New Roman" w:hAnsi="Arial"/>
          <w:sz w:val="22"/>
          <w:szCs w:val="22"/>
        </w:rPr>
        <w:t xml:space="preserve"> w postępowaniu przed Sądem II instancji.</w:t>
      </w:r>
    </w:p>
    <w:p w14:paraId="7EA3EF13" w14:textId="77777777" w:rsidR="0073204A" w:rsidRPr="00CC27F9" w:rsidRDefault="0073204A" w:rsidP="00A37329">
      <w:pPr>
        <w:tabs>
          <w:tab w:val="left" w:pos="4536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</w:p>
    <w:p w14:paraId="4CEBED3F" w14:textId="00CC9F9D" w:rsidR="008F5FD8" w:rsidRDefault="008F5FD8" w:rsidP="00A37329">
      <w:pPr>
        <w:spacing w:line="366" w:lineRule="auto"/>
        <w:jc w:val="center"/>
        <w:rPr>
          <w:rFonts w:ascii="Arial" w:eastAsia="Times New Roman" w:hAnsi="Arial"/>
          <w:b/>
          <w:sz w:val="22"/>
          <w:szCs w:val="22"/>
        </w:rPr>
      </w:pPr>
    </w:p>
    <w:p w14:paraId="4513EE86" w14:textId="77777777" w:rsidR="001A7F33" w:rsidRDefault="001A7F33" w:rsidP="00A37329">
      <w:pPr>
        <w:spacing w:line="366" w:lineRule="auto"/>
        <w:jc w:val="center"/>
        <w:rPr>
          <w:rFonts w:ascii="Arial" w:eastAsia="Times New Roman" w:hAnsi="Arial"/>
          <w:b/>
          <w:sz w:val="22"/>
          <w:szCs w:val="22"/>
        </w:rPr>
      </w:pPr>
    </w:p>
    <w:p w14:paraId="257C9EE0" w14:textId="77777777" w:rsidR="008F5FD8" w:rsidRDefault="008F5FD8" w:rsidP="00A37329">
      <w:pPr>
        <w:spacing w:line="366" w:lineRule="auto"/>
        <w:jc w:val="center"/>
        <w:rPr>
          <w:rFonts w:ascii="Arial" w:eastAsia="Times New Roman" w:hAnsi="Arial"/>
          <w:b/>
          <w:sz w:val="22"/>
          <w:szCs w:val="22"/>
        </w:rPr>
      </w:pPr>
    </w:p>
    <w:p w14:paraId="16D69E4F" w14:textId="11F9569E" w:rsidR="00A37329" w:rsidRPr="00CC27F9" w:rsidRDefault="00A37329" w:rsidP="00A37329">
      <w:pPr>
        <w:spacing w:line="366" w:lineRule="auto"/>
        <w:jc w:val="center"/>
        <w:rPr>
          <w:rFonts w:ascii="Arial" w:eastAsia="Times New Roman" w:hAnsi="Arial"/>
          <w:b/>
          <w:sz w:val="22"/>
          <w:szCs w:val="22"/>
        </w:rPr>
      </w:pPr>
      <w:r w:rsidRPr="00CC27F9">
        <w:rPr>
          <w:rFonts w:ascii="Arial" w:eastAsia="Times New Roman" w:hAnsi="Arial"/>
          <w:b/>
          <w:sz w:val="22"/>
          <w:szCs w:val="22"/>
        </w:rPr>
        <w:lastRenderedPageBreak/>
        <w:t>UZASADNIENIE:</w:t>
      </w:r>
    </w:p>
    <w:p w14:paraId="192378FB" w14:textId="77777777" w:rsidR="00A37329" w:rsidRPr="00CC27F9" w:rsidRDefault="00A37329" w:rsidP="00A37329">
      <w:pPr>
        <w:spacing w:line="366" w:lineRule="auto"/>
        <w:jc w:val="both"/>
        <w:rPr>
          <w:rFonts w:ascii="Arial" w:eastAsia="Times New Roman" w:hAnsi="Arial"/>
          <w:bCs/>
          <w:sz w:val="22"/>
          <w:szCs w:val="22"/>
        </w:rPr>
      </w:pPr>
    </w:p>
    <w:p w14:paraId="12100118" w14:textId="13E8A1CB" w:rsidR="00713481" w:rsidRDefault="00713481" w:rsidP="00A37329">
      <w:pPr>
        <w:spacing w:line="366" w:lineRule="auto"/>
        <w:jc w:val="both"/>
        <w:rPr>
          <w:rFonts w:ascii="Arial" w:eastAsia="Times New Roman" w:hAnsi="Arial"/>
          <w:bCs/>
          <w:sz w:val="22"/>
          <w:szCs w:val="22"/>
        </w:rPr>
      </w:pPr>
      <w:r>
        <w:rPr>
          <w:rFonts w:ascii="Arial" w:eastAsia="Times New Roman" w:hAnsi="Arial"/>
          <w:bCs/>
          <w:sz w:val="22"/>
          <w:szCs w:val="22"/>
        </w:rPr>
        <w:t>Sąd Okręgowy w …………….w wyroku wydanym w dniu ………………… przyznał adwokatowi …………. wynagrodzenie za pomocą prawną udzieloną oskarżonemu z urzędu w postępowaniu przed Sądem II instancji, w wysokości 420 złotych + VAT tj. 516,60 złotych.</w:t>
      </w:r>
    </w:p>
    <w:p w14:paraId="1AA9A86C" w14:textId="0FC0FB71" w:rsidR="00713481" w:rsidRDefault="00206874" w:rsidP="00A37329">
      <w:pPr>
        <w:spacing w:line="366" w:lineRule="auto"/>
        <w:jc w:val="both"/>
        <w:rPr>
          <w:rFonts w:ascii="Arial" w:eastAsia="Times New Roman" w:hAnsi="Arial"/>
          <w:bCs/>
          <w:sz w:val="22"/>
          <w:szCs w:val="22"/>
        </w:rPr>
      </w:pPr>
      <w:r>
        <w:rPr>
          <w:rFonts w:ascii="Arial" w:eastAsia="Times New Roman" w:hAnsi="Arial"/>
          <w:bCs/>
          <w:sz w:val="22"/>
          <w:szCs w:val="22"/>
        </w:rPr>
        <w:t xml:space="preserve">Rozstrzygnięcie Sądu II instancji należy uznać za błędne, albowiem narusza ono </w:t>
      </w:r>
      <w:r w:rsidR="00BF2161">
        <w:rPr>
          <w:rFonts w:ascii="Arial" w:eastAsia="Times New Roman" w:hAnsi="Arial"/>
          <w:bCs/>
          <w:sz w:val="22"/>
          <w:szCs w:val="22"/>
        </w:rPr>
        <w:t>przepisy postępowania</w:t>
      </w:r>
      <w:r>
        <w:rPr>
          <w:rFonts w:ascii="Arial" w:eastAsia="Times New Roman" w:hAnsi="Arial"/>
          <w:bCs/>
          <w:sz w:val="22"/>
          <w:szCs w:val="22"/>
        </w:rPr>
        <w:t xml:space="preserve"> w zakresie określenia podstawy wynagrodzenia obrońcy z urzędu.</w:t>
      </w:r>
    </w:p>
    <w:p w14:paraId="5ABD31E4" w14:textId="77777777" w:rsidR="00206874" w:rsidRDefault="00206874" w:rsidP="00A37329">
      <w:pPr>
        <w:spacing w:line="366" w:lineRule="auto"/>
        <w:jc w:val="both"/>
        <w:rPr>
          <w:rFonts w:ascii="Arial" w:eastAsia="Times New Roman" w:hAnsi="Arial"/>
          <w:bCs/>
          <w:sz w:val="22"/>
          <w:szCs w:val="22"/>
        </w:rPr>
      </w:pPr>
    </w:p>
    <w:p w14:paraId="28B134D0" w14:textId="145CA33A" w:rsidR="00A37329" w:rsidRPr="00CC27F9" w:rsidRDefault="00EC2599" w:rsidP="00A37329">
      <w:pPr>
        <w:spacing w:line="366" w:lineRule="auto"/>
        <w:jc w:val="both"/>
        <w:rPr>
          <w:rFonts w:ascii="Arial" w:hAnsi="Arial"/>
          <w:sz w:val="22"/>
          <w:szCs w:val="22"/>
        </w:rPr>
      </w:pPr>
      <w:r w:rsidRPr="00CC27F9">
        <w:rPr>
          <w:rFonts w:ascii="Arial" w:eastAsia="Times New Roman" w:hAnsi="Arial"/>
          <w:bCs/>
          <w:sz w:val="22"/>
          <w:szCs w:val="22"/>
        </w:rPr>
        <w:t xml:space="preserve">Należy uznać, że przepis </w:t>
      </w:r>
      <w:r w:rsidR="00206874" w:rsidRPr="00206874">
        <w:rPr>
          <w:rFonts w:ascii="Arial" w:eastAsia="Times New Roman" w:hAnsi="Arial"/>
          <w:sz w:val="22"/>
          <w:szCs w:val="22"/>
        </w:rPr>
        <w:t xml:space="preserve">§ 2 pkt. 1  w zw. </w:t>
      </w:r>
      <w:r w:rsidRPr="00206874">
        <w:rPr>
          <w:rFonts w:ascii="Arial" w:eastAsia="Times New Roman" w:hAnsi="Arial"/>
          <w:sz w:val="22"/>
          <w:szCs w:val="22"/>
        </w:rPr>
        <w:t>4 ust</w:t>
      </w:r>
      <w:r w:rsidRPr="00CC27F9">
        <w:rPr>
          <w:rFonts w:ascii="Arial" w:eastAsia="Times New Roman" w:hAnsi="Arial"/>
          <w:sz w:val="22"/>
          <w:szCs w:val="22"/>
        </w:rPr>
        <w:t xml:space="preserve">. 1 rozporządzenia </w:t>
      </w:r>
      <w:r w:rsidR="00585981" w:rsidRPr="00CC27F9">
        <w:rPr>
          <w:rFonts w:ascii="Arial" w:eastAsia="Times New Roman" w:hAnsi="Arial"/>
          <w:sz w:val="22"/>
          <w:szCs w:val="22"/>
        </w:rPr>
        <w:t xml:space="preserve">Ministra Sprawiedliwości </w:t>
      </w:r>
      <w:r w:rsidR="00206874">
        <w:rPr>
          <w:rFonts w:ascii="Arial" w:eastAsia="Times New Roman" w:hAnsi="Arial"/>
          <w:sz w:val="22"/>
          <w:szCs w:val="22"/>
        </w:rPr>
        <w:br/>
        <w:t xml:space="preserve">z dnia 3 października 2016 roku </w:t>
      </w:r>
      <w:r w:rsidRPr="00CC27F9">
        <w:rPr>
          <w:rFonts w:ascii="Arial" w:eastAsia="Times New Roman" w:hAnsi="Arial"/>
          <w:sz w:val="22"/>
          <w:szCs w:val="22"/>
        </w:rPr>
        <w:t xml:space="preserve">w sprawie </w:t>
      </w:r>
      <w:r w:rsidR="00585981" w:rsidRPr="00CC27F9">
        <w:rPr>
          <w:rFonts w:ascii="Arial" w:eastAsia="Times New Roman" w:hAnsi="Arial"/>
          <w:sz w:val="22"/>
          <w:szCs w:val="22"/>
        </w:rPr>
        <w:t>nieopłaconej pomocy prawnej udzielonej przez adwokata z urzędu</w:t>
      </w:r>
      <w:r w:rsidR="00206874">
        <w:rPr>
          <w:rFonts w:ascii="Arial" w:eastAsia="Times New Roman" w:hAnsi="Arial"/>
          <w:sz w:val="22"/>
          <w:szCs w:val="22"/>
        </w:rPr>
        <w:t xml:space="preserve">, określający mechanizm przyznawania wynagrodzenia jako opłaty ustalonej zgodnie z przepisami niniejszego rozporządzenia, </w:t>
      </w:r>
      <w:r w:rsidR="00585981" w:rsidRPr="00CC27F9">
        <w:rPr>
          <w:rFonts w:ascii="Arial" w:eastAsia="Times New Roman" w:hAnsi="Arial"/>
          <w:sz w:val="22"/>
          <w:szCs w:val="22"/>
        </w:rPr>
        <w:t xml:space="preserve">w związku z odpowiednimi przepisami określającymi wysokość stawki </w:t>
      </w:r>
      <w:r w:rsidR="00585981" w:rsidRPr="00206874">
        <w:rPr>
          <w:rFonts w:ascii="Arial" w:eastAsia="Times New Roman" w:hAnsi="Arial"/>
          <w:b/>
          <w:bCs/>
          <w:sz w:val="22"/>
          <w:szCs w:val="22"/>
        </w:rPr>
        <w:t>pozostaje sprzeczny z Konstytucją RP</w:t>
      </w:r>
      <w:r w:rsidR="00585981" w:rsidRPr="00CC27F9">
        <w:rPr>
          <w:rFonts w:ascii="Arial" w:eastAsia="Times New Roman" w:hAnsi="Arial"/>
          <w:sz w:val="22"/>
          <w:szCs w:val="22"/>
        </w:rPr>
        <w:t xml:space="preserve"> – </w:t>
      </w:r>
      <w:r w:rsidR="00206874">
        <w:rPr>
          <w:rFonts w:ascii="Arial" w:eastAsia="Times New Roman" w:hAnsi="Arial"/>
          <w:sz w:val="22"/>
          <w:szCs w:val="22"/>
        </w:rPr>
        <w:br/>
      </w:r>
      <w:r w:rsidR="00585981" w:rsidRPr="00CC27F9">
        <w:rPr>
          <w:rFonts w:ascii="Arial" w:eastAsia="Times New Roman" w:hAnsi="Arial"/>
          <w:sz w:val="22"/>
          <w:szCs w:val="22"/>
        </w:rPr>
        <w:t xml:space="preserve">w zakresie w jakim różnicuje stawki wynagrodzenia </w:t>
      </w:r>
      <w:r w:rsidR="002D6F2E" w:rsidRPr="00CC27F9">
        <w:rPr>
          <w:rFonts w:ascii="Arial" w:eastAsia="Times New Roman" w:hAnsi="Arial"/>
          <w:sz w:val="22"/>
          <w:szCs w:val="22"/>
        </w:rPr>
        <w:t>obrońcy</w:t>
      </w:r>
      <w:r w:rsidR="00585981" w:rsidRPr="00CC27F9">
        <w:rPr>
          <w:rFonts w:ascii="Arial" w:eastAsia="Times New Roman" w:hAnsi="Arial"/>
          <w:sz w:val="22"/>
          <w:szCs w:val="22"/>
        </w:rPr>
        <w:t xml:space="preserve"> w zależności od tego czy podstawą jego umocowania jest działanie z urzędu czy też reprezentacja strony z wyboru</w:t>
      </w:r>
      <w:r w:rsidR="00206874" w:rsidRPr="00206874">
        <w:rPr>
          <w:rFonts w:ascii="Arial" w:eastAsia="Times New Roman" w:hAnsi="Arial"/>
          <w:sz w:val="22"/>
          <w:szCs w:val="22"/>
        </w:rPr>
        <w:t xml:space="preserve">. </w:t>
      </w:r>
      <w:r w:rsidR="00A37329" w:rsidRPr="00206874">
        <w:rPr>
          <w:rFonts w:ascii="Arial" w:eastAsia="Times New Roman" w:hAnsi="Arial"/>
          <w:sz w:val="22"/>
          <w:szCs w:val="22"/>
        </w:rPr>
        <w:t xml:space="preserve">Podstawą wysokości wynagrodzenia </w:t>
      </w:r>
      <w:r w:rsidR="002D6F2E" w:rsidRPr="00206874">
        <w:rPr>
          <w:rFonts w:ascii="Arial" w:eastAsia="Times New Roman" w:hAnsi="Arial"/>
          <w:sz w:val="22"/>
          <w:szCs w:val="22"/>
        </w:rPr>
        <w:t>obrońcy</w:t>
      </w:r>
      <w:r w:rsidR="00A37329" w:rsidRPr="00206874">
        <w:rPr>
          <w:rFonts w:ascii="Arial" w:eastAsia="Times New Roman" w:hAnsi="Arial"/>
          <w:sz w:val="22"/>
          <w:szCs w:val="22"/>
        </w:rPr>
        <w:t xml:space="preserve"> z urzędu w niniejszej sprawie powinna być stawka minimalna określona w rozporządzeniu w sprawie stawek z wyboru tj. odpowiednia</w:t>
      </w:r>
      <w:r w:rsidR="00A37329" w:rsidRPr="00CC27F9">
        <w:rPr>
          <w:rFonts w:ascii="Arial" w:eastAsia="Times New Roman" w:hAnsi="Arial"/>
          <w:b/>
          <w:sz w:val="22"/>
          <w:szCs w:val="22"/>
        </w:rPr>
        <w:t xml:space="preserve"> norma §11 rozporządzenia Ministra Sprawiedliwości w sprawie opłat za czynności adwokackie z dnia 22 października 2015 roku</w:t>
      </w:r>
      <w:r w:rsidRPr="00CC27F9">
        <w:rPr>
          <w:rFonts w:ascii="Arial" w:hAnsi="Arial"/>
          <w:sz w:val="22"/>
          <w:szCs w:val="22"/>
        </w:rPr>
        <w:t xml:space="preserve"> – w tym wypadku</w:t>
      </w:r>
      <w:r w:rsidRPr="00CC27F9">
        <w:rPr>
          <w:rFonts w:ascii="Arial" w:hAnsi="Arial"/>
          <w:bCs/>
          <w:sz w:val="22"/>
          <w:szCs w:val="22"/>
        </w:rPr>
        <w:t xml:space="preserve"> </w:t>
      </w:r>
      <w:r w:rsidRPr="00CC27F9">
        <w:rPr>
          <w:rFonts w:ascii="Arial" w:hAnsi="Arial"/>
          <w:bCs/>
          <w:iCs/>
          <w:sz w:val="22"/>
          <w:szCs w:val="22"/>
        </w:rPr>
        <w:t xml:space="preserve">§ 11 ust. 2 pkt. 4 rozporządzenia. </w:t>
      </w:r>
    </w:p>
    <w:p w14:paraId="3143E97A" w14:textId="77777777" w:rsidR="00A37329" w:rsidRPr="00CC27F9" w:rsidRDefault="00A37329" w:rsidP="00A37329">
      <w:pPr>
        <w:spacing w:line="366" w:lineRule="auto"/>
        <w:jc w:val="both"/>
        <w:rPr>
          <w:rFonts w:ascii="Arial" w:eastAsia="Times New Roman" w:hAnsi="Arial"/>
          <w:b/>
          <w:sz w:val="22"/>
          <w:szCs w:val="22"/>
        </w:rPr>
      </w:pPr>
    </w:p>
    <w:p w14:paraId="1560C5F7" w14:textId="736F6621" w:rsidR="00A37329" w:rsidRPr="00CC27F9" w:rsidRDefault="00A37329" w:rsidP="00A37329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 w:rsidRPr="00CC27F9">
        <w:rPr>
          <w:rFonts w:ascii="Arial" w:eastAsia="Times New Roman" w:hAnsi="Arial"/>
          <w:bCs/>
          <w:sz w:val="22"/>
          <w:szCs w:val="22"/>
        </w:rPr>
        <w:t xml:space="preserve">W zakresie konstytucyjności omawianego przepisu (tj. </w:t>
      </w:r>
      <w:r w:rsidRPr="00CC27F9">
        <w:rPr>
          <w:rFonts w:ascii="Arial" w:eastAsia="Times New Roman" w:hAnsi="Arial"/>
          <w:sz w:val="22"/>
          <w:szCs w:val="22"/>
        </w:rPr>
        <w:t>§4 ust. 1 rozporządzenia w sprawie stawek z urzędu</w:t>
      </w:r>
      <w:r w:rsidRPr="00CC27F9">
        <w:rPr>
          <w:rFonts w:ascii="Arial" w:eastAsia="Times New Roman" w:hAnsi="Arial"/>
          <w:bCs/>
          <w:sz w:val="22"/>
          <w:szCs w:val="22"/>
        </w:rPr>
        <w:t xml:space="preserve">) wypowiedział się Trybunał Konstytucyjny w rozstrzygnięciu z dnia </w:t>
      </w:r>
      <w:r w:rsidRPr="00CC27F9">
        <w:rPr>
          <w:rFonts w:ascii="Arial" w:eastAsia="Times New Roman" w:hAnsi="Arial"/>
          <w:bCs/>
          <w:sz w:val="22"/>
          <w:szCs w:val="22"/>
        </w:rPr>
        <w:br/>
        <w:t xml:space="preserve">23 kwietnia 2020 roku (sygn. akt. SK 66/19) stwierdzając, że </w:t>
      </w:r>
      <w:r w:rsidRPr="00CC27F9">
        <w:rPr>
          <w:rFonts w:ascii="Arial" w:hAnsi="Arial"/>
          <w:sz w:val="22"/>
          <w:szCs w:val="22"/>
          <w:shd w:val="clear" w:color="auto" w:fill="FFFFFF"/>
        </w:rPr>
        <w:t xml:space="preserve">§ 4 ust. 1 rozporządzenia Ministra Sprawiedliwości z dnia 22 października 2015 r. w sprawie ponoszenia przez Skarb Państwa kosztów nieopłaconej pomocy prawnej udzielonej przez adwokata z urzędu ( Dz.U. poz. 1801) </w:t>
      </w:r>
      <w:r w:rsidRPr="00CC27F9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jest niezgodny z art. 64 ust. 2 w związku z art. 31 ust. 3, art. 32 ust. 1 zdanie drugie i art. 92 ust. 1 zdanie pierwsze Konstytucji Rzeczypospolitej Polskiej.  </w:t>
      </w:r>
      <w:r w:rsidRPr="00CC27F9">
        <w:rPr>
          <w:rFonts w:ascii="Arial" w:hAnsi="Arial"/>
          <w:sz w:val="22"/>
          <w:szCs w:val="22"/>
          <w:shd w:val="clear" w:color="auto" w:fill="FFFFFF"/>
        </w:rPr>
        <w:t xml:space="preserve">Jakkolwiek orzeczenie odnosi się wprost do brzmienia rozporządzenia Ministra Sprawiedliwości z dnia 22 października 2015 roku, tak też jego w uzasadnieniu przesądzono, że jakiekolwiek różnicowanie stawek </w:t>
      </w:r>
      <w:r w:rsidR="00EC2599" w:rsidRPr="00CC27F9">
        <w:rPr>
          <w:rFonts w:ascii="Arial" w:hAnsi="Arial"/>
          <w:sz w:val="22"/>
          <w:szCs w:val="22"/>
          <w:shd w:val="clear" w:color="auto" w:fill="FFFFFF"/>
        </w:rPr>
        <w:t>pełnomocnika</w:t>
      </w:r>
      <w:r w:rsidR="002D6F2E" w:rsidRPr="00CC27F9">
        <w:rPr>
          <w:rFonts w:ascii="Arial" w:hAnsi="Arial"/>
          <w:sz w:val="22"/>
          <w:szCs w:val="22"/>
          <w:shd w:val="clear" w:color="auto" w:fill="FFFFFF"/>
        </w:rPr>
        <w:t xml:space="preserve"> (obrońcy)</w:t>
      </w:r>
      <w:r w:rsidRPr="00CC27F9">
        <w:rPr>
          <w:rFonts w:ascii="Arial" w:hAnsi="Arial"/>
          <w:sz w:val="22"/>
          <w:szCs w:val="22"/>
          <w:shd w:val="clear" w:color="auto" w:fill="FFFFFF"/>
        </w:rPr>
        <w:t xml:space="preserve"> z urzędu oraz </w:t>
      </w:r>
      <w:r w:rsidR="00EC2599" w:rsidRPr="00CC27F9">
        <w:rPr>
          <w:rFonts w:ascii="Arial" w:hAnsi="Arial"/>
          <w:sz w:val="22"/>
          <w:szCs w:val="22"/>
          <w:shd w:val="clear" w:color="auto" w:fill="FFFFFF"/>
        </w:rPr>
        <w:t>pełnomocnika</w:t>
      </w:r>
      <w:r w:rsidRPr="00CC27F9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="002D6F2E" w:rsidRPr="00CC27F9">
        <w:rPr>
          <w:rFonts w:ascii="Arial" w:hAnsi="Arial"/>
          <w:sz w:val="22"/>
          <w:szCs w:val="22"/>
          <w:shd w:val="clear" w:color="auto" w:fill="FFFFFF"/>
        </w:rPr>
        <w:t xml:space="preserve">(obrońcy) </w:t>
      </w:r>
      <w:r w:rsidRPr="00CC27F9">
        <w:rPr>
          <w:rFonts w:ascii="Arial" w:hAnsi="Arial"/>
          <w:sz w:val="22"/>
          <w:szCs w:val="22"/>
          <w:shd w:val="clear" w:color="auto" w:fill="FFFFFF"/>
        </w:rPr>
        <w:t xml:space="preserve">z wyboru pozostaje sprzeczne z wyżej powołanymi przepisami Konstytucji Rzeczypospolitej Polskiej. </w:t>
      </w:r>
    </w:p>
    <w:p w14:paraId="7CD8DB4C" w14:textId="08D49CB9" w:rsidR="008F5FD8" w:rsidRDefault="008F5FD8" w:rsidP="00A37329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</w:p>
    <w:p w14:paraId="5F8D12FD" w14:textId="421E4D13" w:rsidR="001A7F33" w:rsidRDefault="001A7F33" w:rsidP="00A37329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</w:p>
    <w:p w14:paraId="1F7FB197" w14:textId="77777777" w:rsidR="001A7F33" w:rsidRDefault="001A7F33" w:rsidP="00A37329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</w:p>
    <w:p w14:paraId="26D8B562" w14:textId="62B340A0" w:rsidR="008F5FD8" w:rsidRDefault="008F5FD8" w:rsidP="00A37329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</w:p>
    <w:p w14:paraId="120A92D1" w14:textId="0DF671E5" w:rsidR="00A37329" w:rsidRPr="00CC27F9" w:rsidRDefault="00A37329" w:rsidP="00A37329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 w:rsidRPr="00CC27F9">
        <w:rPr>
          <w:rFonts w:ascii="Arial" w:hAnsi="Arial"/>
          <w:sz w:val="22"/>
          <w:szCs w:val="22"/>
          <w:shd w:val="clear" w:color="auto" w:fill="FFFFFF"/>
        </w:rPr>
        <w:lastRenderedPageBreak/>
        <w:t>Jak wynika z uzasadnienia rozstrzygnięcia Trybunału Konstytucyjnego (SK 66/19):</w:t>
      </w:r>
    </w:p>
    <w:p w14:paraId="3AAF2428" w14:textId="77777777" w:rsidR="00A37329" w:rsidRPr="00CC27F9" w:rsidRDefault="00A37329" w:rsidP="00A37329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</w:p>
    <w:p w14:paraId="6C0AF044" w14:textId="77777777" w:rsidR="00A37329" w:rsidRPr="00CC27F9" w:rsidRDefault="00A37329" w:rsidP="00A37329">
      <w:pPr>
        <w:spacing w:line="366" w:lineRule="auto"/>
        <w:jc w:val="both"/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</w:pPr>
      <w:r w:rsidRPr="00CC27F9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„Analiza statusu adwokatów i ich roli w postępowaniu, w którym występują jako pod</w:t>
      </w:r>
      <w:r w:rsidRPr="00CC27F9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softHyphen/>
        <w:t>mioty powołane i zobowiązane do zastępstwa prawnego, prowadzi do uznania, że różnicowa</w:t>
      </w:r>
      <w:r w:rsidRPr="00CC27F9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softHyphen/>
        <w:t>nie ich wynagrodzenia (tj. obniżenie pełnomocnikom z urzędu o połowę wynagrodzenia, któ</w:t>
      </w:r>
      <w:r w:rsidRPr="00CC27F9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softHyphen/>
        <w:t>re otrzymaliby, gdyby występowali w sprawie jako pełnomocnicy z wyboru) nie ma konsty</w:t>
      </w:r>
      <w:r w:rsidRPr="00CC27F9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softHyphen/>
        <w:t>tucyjnego uzasadnienia. Odstępstwo od zasady równości, w tym również równej ochrony praw majątkowych, jest więc niedopuszczalne.”</w:t>
      </w:r>
    </w:p>
    <w:p w14:paraId="7AB04375" w14:textId="77777777" w:rsidR="00A37329" w:rsidRPr="00CC27F9" w:rsidRDefault="00A37329" w:rsidP="00A37329">
      <w:pPr>
        <w:spacing w:line="366" w:lineRule="auto"/>
        <w:jc w:val="both"/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</w:pPr>
    </w:p>
    <w:p w14:paraId="6CE11BD0" w14:textId="1171E3D4" w:rsidR="00A37329" w:rsidRPr="00CC27F9" w:rsidRDefault="00944998" w:rsidP="00A37329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>Pomimo wielokrotnego wskazywania przez sądy powszechne, że obecne rozporządzenie powinno być również przedmiotem kontroli Trybunału Konstytucyjnego wskazać należy, że</w:t>
      </w:r>
      <w:r w:rsidRPr="00CC27F9">
        <w:rPr>
          <w:rFonts w:ascii="Arial" w:hAnsi="Arial"/>
          <w:sz w:val="22"/>
          <w:szCs w:val="22"/>
          <w:shd w:val="clear" w:color="auto" w:fill="FFFFFF"/>
        </w:rPr>
        <w:t xml:space="preserve"> na gruncie obecnego orzecznictwa sądowego zarówno sądów polskich, jak też sądów międzynarodowych budzi istotne wątpliwości czy Trybunał Konstytucyjny </w:t>
      </w:r>
      <w:r>
        <w:rPr>
          <w:rFonts w:ascii="Arial" w:hAnsi="Arial"/>
          <w:sz w:val="22"/>
          <w:szCs w:val="22"/>
          <w:shd w:val="clear" w:color="auto" w:fill="FFFFFF"/>
        </w:rPr>
        <w:br/>
      </w:r>
      <w:r w:rsidRPr="00CC27F9">
        <w:rPr>
          <w:rFonts w:ascii="Arial" w:hAnsi="Arial"/>
          <w:sz w:val="22"/>
          <w:szCs w:val="22"/>
          <w:shd w:val="clear" w:color="auto" w:fill="FFFFFF"/>
        </w:rPr>
        <w:t>w obecnym składzie w ogóle może wykonywać dotychczasową rolę sądu konstytucyjnego</w:t>
      </w:r>
      <w:r w:rsidRPr="00CC27F9">
        <w:rPr>
          <w:rStyle w:val="Odwoanieprzypisudolnego"/>
          <w:rFonts w:ascii="Arial" w:hAnsi="Arial"/>
          <w:sz w:val="22"/>
          <w:szCs w:val="22"/>
          <w:shd w:val="clear" w:color="auto" w:fill="FFFFFF"/>
        </w:rPr>
        <w:footnoteReference w:id="1"/>
      </w:r>
      <w:r w:rsidRPr="00CC27F9">
        <w:rPr>
          <w:rFonts w:ascii="Arial" w:hAnsi="Arial"/>
          <w:sz w:val="22"/>
          <w:szCs w:val="22"/>
          <w:shd w:val="clear" w:color="auto" w:fill="FFFFFF"/>
        </w:rPr>
        <w:t xml:space="preserve">, </w:t>
      </w:r>
      <w:r w:rsidRPr="001771EB">
        <w:rPr>
          <w:rFonts w:ascii="Arial" w:hAnsi="Arial"/>
          <w:b/>
          <w:bCs/>
          <w:sz w:val="22"/>
          <w:szCs w:val="22"/>
          <w:shd w:val="clear" w:color="auto" w:fill="FFFFFF"/>
        </w:rPr>
        <w:t>wobec czego</w:t>
      </w:r>
      <w:r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Pr="00CC27F9">
        <w:rPr>
          <w:rFonts w:ascii="Arial" w:hAnsi="Arial"/>
          <w:b/>
          <w:bCs/>
          <w:sz w:val="22"/>
          <w:szCs w:val="22"/>
          <w:shd w:val="clear" w:color="auto" w:fill="FFFFFF"/>
        </w:rPr>
        <w:t>nie ulega kwestii, iż sąd orzekający zobowiązany jest dokonywać tzw. „rozproszonej kontroli konstytucyjności” norm rozporządzenia wykonawczego. Zwłaszcza wówczas, gdy obywatel mógłby zostać pozbawiony z różnych względów skutecznego prawa kwestionowania normy jako sprzecznej z konstytucją</w:t>
      </w:r>
      <w:r w:rsidR="00A37329" w:rsidRPr="00CC27F9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. </w:t>
      </w:r>
      <w:r w:rsidR="00A37329" w:rsidRPr="00CC27F9">
        <w:rPr>
          <w:rFonts w:ascii="Arial" w:hAnsi="Arial"/>
          <w:sz w:val="22"/>
          <w:szCs w:val="22"/>
          <w:shd w:val="clear" w:color="auto" w:fill="FFFFFF"/>
        </w:rPr>
        <w:t xml:space="preserve">Nie tylko możliwość, ale także </w:t>
      </w:r>
      <w:r w:rsidR="00A37329" w:rsidRPr="00CC27F9">
        <w:rPr>
          <w:rFonts w:ascii="Arial" w:hAnsi="Arial"/>
          <w:sz w:val="22"/>
          <w:szCs w:val="22"/>
          <w:u w:val="single"/>
          <w:shd w:val="clear" w:color="auto" w:fill="FFFFFF"/>
        </w:rPr>
        <w:t>konieczność</w:t>
      </w:r>
      <w:r w:rsidR="00A37329" w:rsidRPr="00CC27F9">
        <w:rPr>
          <w:rFonts w:ascii="Arial" w:hAnsi="Arial"/>
          <w:sz w:val="22"/>
          <w:szCs w:val="22"/>
          <w:shd w:val="clear" w:color="auto" w:fill="FFFFFF"/>
        </w:rPr>
        <w:t xml:space="preserve"> stosowania takiego środka wynika zarówno ze stanowiska doktryny</w:t>
      </w:r>
      <w:r w:rsidR="00A37329" w:rsidRPr="00CC27F9">
        <w:rPr>
          <w:rStyle w:val="Odwoanieprzypisudolnego"/>
          <w:rFonts w:ascii="Arial" w:hAnsi="Arial"/>
          <w:sz w:val="22"/>
          <w:szCs w:val="22"/>
          <w:shd w:val="clear" w:color="auto" w:fill="FFFFFF"/>
        </w:rPr>
        <w:footnoteReference w:id="2"/>
      </w:r>
      <w:r w:rsidR="00A37329" w:rsidRPr="00CC27F9">
        <w:rPr>
          <w:rFonts w:ascii="Arial" w:hAnsi="Arial"/>
          <w:sz w:val="22"/>
          <w:szCs w:val="22"/>
          <w:shd w:val="clear" w:color="auto" w:fill="FFFFFF"/>
        </w:rPr>
        <w:t xml:space="preserve"> i orzecznictwa</w:t>
      </w:r>
      <w:r w:rsidR="00A37329" w:rsidRPr="00CC27F9">
        <w:rPr>
          <w:rStyle w:val="Odwoanieprzypisudolnego"/>
          <w:rFonts w:ascii="Arial" w:hAnsi="Arial"/>
          <w:sz w:val="22"/>
          <w:szCs w:val="22"/>
          <w:shd w:val="clear" w:color="auto" w:fill="FFFFFF"/>
        </w:rPr>
        <w:footnoteReference w:id="3"/>
      </w:r>
      <w:r w:rsidR="00A37329" w:rsidRPr="00CC27F9">
        <w:rPr>
          <w:rFonts w:ascii="Arial" w:hAnsi="Arial"/>
          <w:sz w:val="22"/>
          <w:szCs w:val="22"/>
          <w:shd w:val="clear" w:color="auto" w:fill="FFFFFF"/>
        </w:rPr>
        <w:t xml:space="preserve"> Aktualnie zasada bezpośredniego wykorzystywania konstytucji w procesie stosowania prawa przez sąd nie budzi kontrowersji, a wręcz spotyka się z aprobatą. Stosowanie konstytucji przez sądy służy nie tylko realizacji uprawnień obywatelskich składających na konstytucyjne prawo do sądu, ale jest przede wszystkim instrumentem umożliwiającym realizację roszczenia do słuszności prawa oraz sprawiedliwości rozstrzygnięcia.</w:t>
      </w:r>
      <w:r w:rsidR="00A37329" w:rsidRPr="00CC27F9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 Sądy są tym samym uprawnione i zobowiązane do rozważenia problemów konstytucyjnych w procesie orzekania. </w:t>
      </w:r>
      <w:r w:rsidR="00A37329" w:rsidRPr="00CC27F9">
        <w:rPr>
          <w:rFonts w:ascii="Arial" w:hAnsi="Arial"/>
          <w:sz w:val="22"/>
          <w:szCs w:val="22"/>
          <w:shd w:val="clear" w:color="auto" w:fill="FFFFFF"/>
        </w:rPr>
        <w:t xml:space="preserve">Sądy nie są także pozbawione możliwości sprawowania władczej kontroli konstytucyjności i legalności rozporządzeń. </w:t>
      </w:r>
    </w:p>
    <w:p w14:paraId="12F4F419" w14:textId="77777777" w:rsidR="00A37329" w:rsidRPr="00CC27F9" w:rsidRDefault="00A37329" w:rsidP="00A37329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</w:p>
    <w:p w14:paraId="5A452E89" w14:textId="367D6EFA" w:rsidR="00A37329" w:rsidRPr="00CC27F9" w:rsidRDefault="00A37329" w:rsidP="00A37329">
      <w:pPr>
        <w:spacing w:line="366" w:lineRule="auto"/>
        <w:jc w:val="both"/>
        <w:rPr>
          <w:rFonts w:ascii="Arial" w:hAnsi="Arial"/>
          <w:b/>
          <w:iCs/>
          <w:sz w:val="22"/>
          <w:szCs w:val="22"/>
        </w:rPr>
      </w:pPr>
      <w:r w:rsidRPr="00CC27F9">
        <w:rPr>
          <w:rFonts w:ascii="Arial" w:hAnsi="Arial"/>
          <w:sz w:val="22"/>
          <w:szCs w:val="22"/>
          <w:shd w:val="clear" w:color="auto" w:fill="FFFFFF"/>
        </w:rPr>
        <w:t xml:space="preserve">Rozporządzenie Ministra Sprawiedliwości z dnia 3 października 2016 roku </w:t>
      </w:r>
      <w:r w:rsidRPr="00CC27F9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niedopuszczalnie różnicuje wynagrodzenie </w:t>
      </w:r>
      <w:r w:rsidR="002D6F2E" w:rsidRPr="00CC27F9">
        <w:rPr>
          <w:rFonts w:ascii="Arial" w:hAnsi="Arial"/>
          <w:b/>
          <w:bCs/>
          <w:sz w:val="22"/>
          <w:szCs w:val="22"/>
          <w:shd w:val="clear" w:color="auto" w:fill="FFFFFF"/>
        </w:rPr>
        <w:t>obrońcy</w:t>
      </w:r>
      <w:r w:rsidRPr="00CC27F9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 z urzędu w stosunku do </w:t>
      </w:r>
      <w:r w:rsidR="002D6F2E" w:rsidRPr="00CC27F9">
        <w:rPr>
          <w:rFonts w:ascii="Arial" w:hAnsi="Arial"/>
          <w:b/>
          <w:bCs/>
          <w:sz w:val="22"/>
          <w:szCs w:val="22"/>
          <w:shd w:val="clear" w:color="auto" w:fill="FFFFFF"/>
        </w:rPr>
        <w:t>obrońcy</w:t>
      </w:r>
      <w:r w:rsidRPr="00CC27F9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 z wyboru. </w:t>
      </w:r>
      <w:r w:rsidRPr="00CC27F9">
        <w:rPr>
          <w:rFonts w:ascii="Arial" w:hAnsi="Arial"/>
          <w:sz w:val="22"/>
          <w:szCs w:val="22"/>
          <w:shd w:val="clear" w:color="auto" w:fill="FFFFFF"/>
        </w:rPr>
        <w:t xml:space="preserve">Wynagrodzenie </w:t>
      </w:r>
      <w:r w:rsidR="002D6F2E" w:rsidRPr="00CC27F9">
        <w:rPr>
          <w:rFonts w:ascii="Arial" w:hAnsi="Arial"/>
          <w:sz w:val="22"/>
          <w:szCs w:val="22"/>
          <w:shd w:val="clear" w:color="auto" w:fill="FFFFFF"/>
        </w:rPr>
        <w:t>obrońcy</w:t>
      </w:r>
      <w:r w:rsidRPr="00CC27F9">
        <w:rPr>
          <w:rFonts w:ascii="Arial" w:hAnsi="Arial"/>
          <w:sz w:val="22"/>
          <w:szCs w:val="22"/>
          <w:shd w:val="clear" w:color="auto" w:fill="FFFFFF"/>
        </w:rPr>
        <w:t xml:space="preserve"> za </w:t>
      </w:r>
      <w:r w:rsidR="00EC2599" w:rsidRPr="00CC27F9">
        <w:rPr>
          <w:rFonts w:ascii="Arial" w:hAnsi="Arial"/>
          <w:sz w:val="22"/>
          <w:szCs w:val="22"/>
          <w:shd w:val="clear" w:color="auto" w:fill="FFFFFF"/>
        </w:rPr>
        <w:t>reprezentację</w:t>
      </w:r>
      <w:r w:rsidRPr="00CC27F9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="00EC2599" w:rsidRPr="00CC27F9">
        <w:rPr>
          <w:rFonts w:ascii="Arial" w:hAnsi="Arial"/>
          <w:sz w:val="22"/>
          <w:szCs w:val="22"/>
          <w:shd w:val="clear" w:color="auto" w:fill="FFFFFF"/>
        </w:rPr>
        <w:t>strony</w:t>
      </w:r>
      <w:r w:rsidRPr="00CC27F9">
        <w:rPr>
          <w:rFonts w:ascii="Arial" w:hAnsi="Arial"/>
          <w:sz w:val="22"/>
          <w:szCs w:val="22"/>
          <w:shd w:val="clear" w:color="auto" w:fill="FFFFFF"/>
        </w:rPr>
        <w:t xml:space="preserve"> z urzędu </w:t>
      </w:r>
      <w:r w:rsidRPr="00CC27F9">
        <w:rPr>
          <w:rFonts w:ascii="Arial" w:hAnsi="Arial"/>
          <w:bCs/>
          <w:iCs/>
          <w:sz w:val="22"/>
          <w:szCs w:val="22"/>
        </w:rPr>
        <w:t xml:space="preserve">(na podstawie §17 ust. 2 pkt. </w:t>
      </w:r>
      <w:r w:rsidR="00EC2599" w:rsidRPr="00CC27F9">
        <w:rPr>
          <w:rFonts w:ascii="Arial" w:hAnsi="Arial"/>
          <w:bCs/>
          <w:iCs/>
          <w:sz w:val="22"/>
          <w:szCs w:val="22"/>
        </w:rPr>
        <w:t>4</w:t>
      </w:r>
      <w:r w:rsidRPr="00CC27F9">
        <w:rPr>
          <w:rFonts w:ascii="Arial" w:hAnsi="Arial"/>
          <w:bCs/>
          <w:iCs/>
          <w:sz w:val="22"/>
          <w:szCs w:val="22"/>
        </w:rPr>
        <w:t xml:space="preserve"> rozporządzenia w sprawie stawek z urzędu) wynosi łącznie </w:t>
      </w:r>
      <w:r w:rsidR="00EC2599" w:rsidRPr="00CC27F9">
        <w:rPr>
          <w:rFonts w:ascii="Arial" w:hAnsi="Arial"/>
          <w:bCs/>
          <w:iCs/>
          <w:sz w:val="22"/>
          <w:szCs w:val="22"/>
        </w:rPr>
        <w:t>516,60</w:t>
      </w:r>
      <w:r w:rsidRPr="00CC27F9">
        <w:rPr>
          <w:rFonts w:ascii="Arial" w:hAnsi="Arial"/>
          <w:bCs/>
          <w:iCs/>
          <w:sz w:val="22"/>
          <w:szCs w:val="22"/>
        </w:rPr>
        <w:t xml:space="preserve"> złotych za reprezentację postępowanie przed Sądem </w:t>
      </w:r>
      <w:r w:rsidR="00EC2599" w:rsidRPr="00CC27F9">
        <w:rPr>
          <w:rFonts w:ascii="Arial" w:hAnsi="Arial"/>
          <w:bCs/>
          <w:iCs/>
          <w:sz w:val="22"/>
          <w:szCs w:val="22"/>
        </w:rPr>
        <w:t>Okręgowym</w:t>
      </w:r>
      <w:r w:rsidRPr="00CC27F9">
        <w:rPr>
          <w:rFonts w:ascii="Arial" w:hAnsi="Arial"/>
          <w:bCs/>
          <w:iCs/>
          <w:sz w:val="22"/>
          <w:szCs w:val="22"/>
        </w:rPr>
        <w:t xml:space="preserve"> (420 zł + </w:t>
      </w:r>
      <w:r w:rsidR="00EC2599" w:rsidRPr="00CC27F9">
        <w:rPr>
          <w:rFonts w:ascii="Arial" w:hAnsi="Arial"/>
          <w:bCs/>
          <w:iCs/>
          <w:sz w:val="22"/>
          <w:szCs w:val="22"/>
        </w:rPr>
        <w:t>VAT</w:t>
      </w:r>
      <w:r w:rsidRPr="00CC27F9">
        <w:rPr>
          <w:rFonts w:ascii="Arial" w:hAnsi="Arial"/>
          <w:bCs/>
          <w:iCs/>
          <w:sz w:val="22"/>
          <w:szCs w:val="22"/>
        </w:rPr>
        <w:t xml:space="preserve">), podczas gdy wynagrodzenie minimalne takiego samego </w:t>
      </w:r>
      <w:r w:rsidR="002D6F2E" w:rsidRPr="00CC27F9">
        <w:rPr>
          <w:rFonts w:ascii="Arial" w:hAnsi="Arial"/>
          <w:bCs/>
          <w:iCs/>
          <w:sz w:val="22"/>
          <w:szCs w:val="22"/>
        </w:rPr>
        <w:t>obrońcy</w:t>
      </w:r>
      <w:r w:rsidRPr="00CC27F9">
        <w:rPr>
          <w:rFonts w:ascii="Arial" w:hAnsi="Arial"/>
          <w:bCs/>
          <w:iCs/>
          <w:sz w:val="22"/>
          <w:szCs w:val="22"/>
        </w:rPr>
        <w:t>, pełniącego rolę w postępowaniu sądowym „z wyboru” to kwota 1</w:t>
      </w:r>
      <w:r w:rsidR="00EC2599" w:rsidRPr="00CC27F9">
        <w:rPr>
          <w:rFonts w:ascii="Arial" w:hAnsi="Arial"/>
          <w:bCs/>
          <w:iCs/>
          <w:sz w:val="22"/>
          <w:szCs w:val="22"/>
        </w:rPr>
        <w:t>033,20zł</w:t>
      </w:r>
      <w:r w:rsidRPr="00CC27F9">
        <w:rPr>
          <w:rFonts w:ascii="Arial" w:hAnsi="Arial"/>
          <w:bCs/>
          <w:iCs/>
          <w:sz w:val="22"/>
          <w:szCs w:val="22"/>
        </w:rPr>
        <w:t xml:space="preserve"> złotych (840 + </w:t>
      </w:r>
      <w:r w:rsidR="00EC2599" w:rsidRPr="00CC27F9">
        <w:rPr>
          <w:rFonts w:ascii="Arial" w:hAnsi="Arial"/>
          <w:bCs/>
          <w:iCs/>
          <w:sz w:val="22"/>
          <w:szCs w:val="22"/>
        </w:rPr>
        <w:t>VAT</w:t>
      </w:r>
      <w:r w:rsidRPr="00CC27F9">
        <w:rPr>
          <w:rFonts w:ascii="Arial" w:hAnsi="Arial"/>
          <w:bCs/>
          <w:iCs/>
          <w:sz w:val="22"/>
          <w:szCs w:val="22"/>
        </w:rPr>
        <w:t xml:space="preserve">). Przy czym zaznaczyć należy, że stawki określone w rozporządzeniu w sprawie stawek </w:t>
      </w:r>
      <w:r w:rsidR="000C491F">
        <w:rPr>
          <w:rFonts w:ascii="Arial" w:hAnsi="Arial"/>
          <w:bCs/>
          <w:iCs/>
          <w:sz w:val="22"/>
          <w:szCs w:val="22"/>
        </w:rPr>
        <w:t>z</w:t>
      </w:r>
      <w:r w:rsidRPr="00CC27F9">
        <w:rPr>
          <w:rFonts w:ascii="Arial" w:hAnsi="Arial"/>
          <w:bCs/>
          <w:iCs/>
          <w:sz w:val="22"/>
          <w:szCs w:val="22"/>
        </w:rPr>
        <w:t xml:space="preserve"> wyboru stanowią </w:t>
      </w:r>
      <w:r w:rsidRPr="00CC27F9">
        <w:rPr>
          <w:rFonts w:ascii="Arial" w:hAnsi="Arial"/>
          <w:b/>
          <w:iCs/>
          <w:sz w:val="22"/>
          <w:szCs w:val="22"/>
        </w:rPr>
        <w:t>kwoty</w:t>
      </w:r>
      <w:r w:rsidRPr="00CC27F9">
        <w:rPr>
          <w:rFonts w:ascii="Arial" w:hAnsi="Arial"/>
          <w:bCs/>
          <w:iCs/>
          <w:sz w:val="22"/>
          <w:szCs w:val="22"/>
        </w:rPr>
        <w:t xml:space="preserve"> </w:t>
      </w:r>
      <w:r w:rsidRPr="00CC27F9">
        <w:rPr>
          <w:rFonts w:ascii="Arial" w:hAnsi="Arial"/>
          <w:b/>
          <w:iCs/>
          <w:sz w:val="22"/>
          <w:szCs w:val="22"/>
        </w:rPr>
        <w:t>minimalne</w:t>
      </w:r>
      <w:r w:rsidRPr="00CC27F9">
        <w:rPr>
          <w:rFonts w:ascii="Arial" w:hAnsi="Arial"/>
          <w:bCs/>
          <w:iCs/>
          <w:sz w:val="22"/>
          <w:szCs w:val="22"/>
        </w:rPr>
        <w:t xml:space="preserve">. </w:t>
      </w:r>
      <w:r w:rsidRPr="00CC27F9">
        <w:rPr>
          <w:rFonts w:ascii="Arial" w:hAnsi="Arial"/>
          <w:b/>
          <w:iCs/>
          <w:sz w:val="22"/>
          <w:szCs w:val="22"/>
        </w:rPr>
        <w:t xml:space="preserve">Oznacza to, że </w:t>
      </w:r>
      <w:r w:rsidR="00206874">
        <w:rPr>
          <w:rFonts w:ascii="Arial" w:hAnsi="Arial"/>
          <w:b/>
          <w:iCs/>
          <w:sz w:val="22"/>
          <w:szCs w:val="22"/>
        </w:rPr>
        <w:br/>
      </w:r>
      <w:r w:rsidRPr="00CC27F9">
        <w:rPr>
          <w:rFonts w:ascii="Arial" w:hAnsi="Arial"/>
          <w:b/>
          <w:iCs/>
          <w:sz w:val="22"/>
          <w:szCs w:val="22"/>
        </w:rPr>
        <w:t xml:space="preserve">z nieznanych ustawie oraz Konstytucji RP powodów – „klient” w rozumieniu Skarbu Państwa jest premiowany względem każdej innej osoby. </w:t>
      </w:r>
      <w:r w:rsidRPr="00CC27F9">
        <w:rPr>
          <w:rFonts w:ascii="Arial" w:hAnsi="Arial"/>
          <w:bCs/>
          <w:iCs/>
          <w:sz w:val="22"/>
          <w:szCs w:val="22"/>
        </w:rPr>
        <w:t>Podobne dysproporcje występują w każdym innym rodzaju postępowań w zakresie spraw karnych.</w:t>
      </w:r>
      <w:r w:rsidR="002D6F2E" w:rsidRPr="00CC27F9">
        <w:rPr>
          <w:rFonts w:ascii="Arial" w:hAnsi="Arial"/>
          <w:bCs/>
          <w:iCs/>
          <w:sz w:val="22"/>
          <w:szCs w:val="22"/>
        </w:rPr>
        <w:t xml:space="preserve"> </w:t>
      </w:r>
      <w:r w:rsidR="002D6F2E" w:rsidRPr="00CC27F9">
        <w:rPr>
          <w:rFonts w:ascii="Arial" w:hAnsi="Arial"/>
          <w:b/>
          <w:iCs/>
          <w:sz w:val="22"/>
          <w:szCs w:val="22"/>
        </w:rPr>
        <w:t xml:space="preserve">Podkreślić należy, że obrońca z urzędu nie ma prawnej możliwości uchylenia się od wniesienia środka odwoławczego na korzyść swojego klienta, wobec czego jest niejako zmuszony do podjęcia czynności na jego rzecz i podjęcie </w:t>
      </w:r>
      <w:r w:rsidR="007D7BF6" w:rsidRPr="00CC27F9">
        <w:rPr>
          <w:rFonts w:ascii="Arial" w:hAnsi="Arial"/>
          <w:b/>
          <w:iCs/>
          <w:sz w:val="22"/>
          <w:szCs w:val="22"/>
        </w:rPr>
        <w:t xml:space="preserve">przez to </w:t>
      </w:r>
      <w:r w:rsidR="002D6F2E" w:rsidRPr="00CC27F9">
        <w:rPr>
          <w:rFonts w:ascii="Arial" w:hAnsi="Arial"/>
          <w:b/>
          <w:iCs/>
          <w:sz w:val="22"/>
          <w:szCs w:val="22"/>
        </w:rPr>
        <w:t xml:space="preserve">określonego wysiłku intelektualnego. </w:t>
      </w:r>
    </w:p>
    <w:p w14:paraId="2B17143D" w14:textId="77777777" w:rsidR="00A37329" w:rsidRPr="00CC27F9" w:rsidRDefault="00A37329" w:rsidP="00A37329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</w:p>
    <w:p w14:paraId="2F70332A" w14:textId="688FFC36" w:rsidR="00A37329" w:rsidRPr="00CC27F9" w:rsidRDefault="00A37329" w:rsidP="00A37329">
      <w:pPr>
        <w:spacing w:line="366" w:lineRule="auto"/>
        <w:jc w:val="both"/>
        <w:rPr>
          <w:rFonts w:ascii="Arial" w:hAnsi="Arial"/>
          <w:b/>
          <w:iCs/>
          <w:sz w:val="22"/>
          <w:szCs w:val="22"/>
        </w:rPr>
      </w:pPr>
      <w:r w:rsidRPr="00CC27F9">
        <w:rPr>
          <w:rFonts w:ascii="Arial" w:hAnsi="Arial"/>
          <w:bCs/>
          <w:iCs/>
          <w:sz w:val="22"/>
          <w:szCs w:val="22"/>
        </w:rPr>
        <w:t xml:space="preserve">Jak zaznaczono w dotychczasowym orzecznictwie sądowym odnoszącym się do regulacji stawek z urzędu </w:t>
      </w:r>
      <w:r w:rsidRPr="00CC27F9">
        <w:rPr>
          <w:rFonts w:ascii="Arial" w:hAnsi="Arial"/>
          <w:b/>
          <w:iCs/>
          <w:sz w:val="22"/>
          <w:szCs w:val="22"/>
        </w:rPr>
        <w:t xml:space="preserve">nie istnieją racje prawne przemawiające za różnicowaniem stawek wynagrodzenia pomiędzy </w:t>
      </w:r>
      <w:r w:rsidR="007D7BF6" w:rsidRPr="00CC27F9">
        <w:rPr>
          <w:rFonts w:ascii="Arial" w:hAnsi="Arial"/>
          <w:b/>
          <w:iCs/>
          <w:sz w:val="22"/>
          <w:szCs w:val="22"/>
        </w:rPr>
        <w:t>obrońcami</w:t>
      </w:r>
      <w:r w:rsidRPr="00CC27F9">
        <w:rPr>
          <w:rFonts w:ascii="Arial" w:hAnsi="Arial"/>
          <w:b/>
          <w:iCs/>
          <w:sz w:val="22"/>
          <w:szCs w:val="22"/>
        </w:rPr>
        <w:t xml:space="preserve"> z tego tylko powodu, że źródła ich umocowań dla reprezentacji stron postępowań sądowych, w odniesieniu do mandatariuszy z wyboru </w:t>
      </w:r>
      <w:r w:rsidR="00EC2599" w:rsidRPr="00CC27F9">
        <w:rPr>
          <w:rFonts w:ascii="Arial" w:hAnsi="Arial"/>
          <w:b/>
          <w:iCs/>
          <w:sz w:val="22"/>
          <w:szCs w:val="22"/>
        </w:rPr>
        <w:br/>
      </w:r>
      <w:r w:rsidRPr="00CC27F9">
        <w:rPr>
          <w:rFonts w:ascii="Arial" w:hAnsi="Arial"/>
          <w:b/>
          <w:iCs/>
          <w:sz w:val="22"/>
          <w:szCs w:val="22"/>
        </w:rPr>
        <w:t>i z urzędu są różne. Takie zróżnicowanie byłoby sprzeczne z przepisami Ustawy Zasadniczej</w:t>
      </w:r>
      <w:r w:rsidRPr="00CC27F9">
        <w:rPr>
          <w:rFonts w:ascii="Arial" w:hAnsi="Arial"/>
          <w:bCs/>
          <w:iCs/>
          <w:sz w:val="22"/>
          <w:szCs w:val="22"/>
        </w:rPr>
        <w:t xml:space="preserve"> (tak: wyrok SA w Krakowie z dnia 26 lutego 2021 roku, I ACa 39/21). </w:t>
      </w:r>
    </w:p>
    <w:p w14:paraId="7E67A546" w14:textId="77777777" w:rsidR="00A37329" w:rsidRPr="00CC27F9" w:rsidRDefault="00A37329" w:rsidP="00A37329">
      <w:pPr>
        <w:spacing w:line="366" w:lineRule="auto"/>
        <w:jc w:val="both"/>
        <w:rPr>
          <w:rFonts w:ascii="Arial" w:hAnsi="Arial"/>
          <w:b/>
          <w:iCs/>
          <w:sz w:val="22"/>
          <w:szCs w:val="22"/>
        </w:rPr>
      </w:pPr>
    </w:p>
    <w:p w14:paraId="4FE87D87" w14:textId="0517343B" w:rsidR="00A37329" w:rsidRDefault="00A37329" w:rsidP="00A37329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  <w:r w:rsidRPr="00CC27F9">
        <w:rPr>
          <w:rFonts w:ascii="Arial" w:hAnsi="Arial"/>
          <w:sz w:val="22"/>
          <w:szCs w:val="22"/>
          <w:shd w:val="clear" w:color="auto" w:fill="FFFFFF"/>
        </w:rPr>
        <w:t xml:space="preserve">Porównanie treści rozporządzeń Ministra Sprawiedliwości w sprawie stawek „z urzędu” </w:t>
      </w:r>
      <w:r w:rsidRPr="00CC27F9">
        <w:rPr>
          <w:rFonts w:ascii="Arial" w:hAnsi="Arial"/>
          <w:sz w:val="22"/>
          <w:szCs w:val="22"/>
          <w:shd w:val="clear" w:color="auto" w:fill="FFFFFF"/>
        </w:rPr>
        <w:br/>
        <w:t xml:space="preserve">oraz stawek „z wyboru” pozwala stwierdzić, iż pomimo zmiany literalnej treści </w:t>
      </w:r>
      <w:r w:rsidRPr="00CC27F9">
        <w:rPr>
          <w:rFonts w:ascii="Arial" w:eastAsia="Times New Roman" w:hAnsi="Arial"/>
          <w:sz w:val="22"/>
          <w:szCs w:val="22"/>
        </w:rPr>
        <w:t xml:space="preserve">§4 ust. 1 </w:t>
      </w:r>
      <w:r w:rsidRPr="00CC27F9">
        <w:rPr>
          <w:rFonts w:ascii="Arial" w:hAnsi="Arial"/>
          <w:sz w:val="22"/>
          <w:szCs w:val="22"/>
          <w:shd w:val="clear" w:color="auto" w:fill="FFFFFF"/>
        </w:rPr>
        <w:t xml:space="preserve">rozporządzenia treść normatywna wskazanego przepisu pozostaje niezmieniona. </w:t>
      </w:r>
      <w:r w:rsidRPr="00CC27F9">
        <w:rPr>
          <w:rFonts w:ascii="Arial" w:hAnsi="Arial"/>
          <w:sz w:val="22"/>
          <w:szCs w:val="22"/>
          <w:shd w:val="clear" w:color="auto" w:fill="FFFFFF"/>
        </w:rPr>
        <w:br/>
        <w:t xml:space="preserve">Jak dowodził Sąd Najwyższy w wyroku z dnia 17 marca 2016 roku (sygn. akt. </w:t>
      </w:r>
      <w:r w:rsidRPr="00CC27F9">
        <w:rPr>
          <w:rFonts w:ascii="Arial" w:hAnsi="Arial"/>
          <w:sz w:val="22"/>
          <w:szCs w:val="22"/>
        </w:rPr>
        <w:t xml:space="preserve">V CSK 377/15) </w:t>
      </w:r>
      <w:r w:rsidRPr="00CC27F9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niezgodność z Konstytucją dotyczy określonej normy prawnej, którą przepis wyraża, </w:t>
      </w:r>
      <w:r w:rsidRPr="00CC27F9">
        <w:rPr>
          <w:rFonts w:ascii="Arial" w:hAnsi="Arial"/>
          <w:b/>
          <w:bCs/>
          <w:sz w:val="22"/>
          <w:szCs w:val="22"/>
          <w:shd w:val="clear" w:color="auto" w:fill="FFFFFF"/>
        </w:rPr>
        <w:br/>
        <w:t>a nie jednostek redakcyjnych, pełniących wyłącznie rolę porządkującą wewnątrz aktu prawnego, w którym się znajduje</w:t>
      </w:r>
      <w:r w:rsidRPr="00CC27F9">
        <w:rPr>
          <w:rFonts w:ascii="Arial" w:hAnsi="Arial"/>
          <w:sz w:val="22"/>
          <w:szCs w:val="22"/>
          <w:shd w:val="clear" w:color="auto" w:fill="FFFFFF"/>
        </w:rPr>
        <w:t xml:space="preserve">. </w:t>
      </w:r>
      <w:r w:rsidRPr="00CC27F9">
        <w:rPr>
          <w:rFonts w:ascii="Arial" w:hAnsi="Arial"/>
          <w:b/>
          <w:bCs/>
          <w:sz w:val="22"/>
          <w:szCs w:val="22"/>
          <w:u w:val="single"/>
          <w:shd w:val="clear" w:color="auto" w:fill="FFFFFF"/>
        </w:rPr>
        <w:t>Powinnością ustawodawcy jest przepis ten z ustawy usunąć wraz z ogłoszeniem wyroku Trybunału, gdyż w przeciwnym wypadku doszłoby się do karkołomnego wniosku o możliwości dowolnego zmieniania numeracji przepisów w ustawach, np. w razie tworzenia tekstu jednolitego i omijania w ten sposób (nie wykonywania) wyroków Trybunału Konstytucyjnego</w:t>
      </w:r>
      <w:r w:rsidRPr="00CC27F9">
        <w:rPr>
          <w:rFonts w:ascii="Arial" w:hAnsi="Arial"/>
          <w:sz w:val="22"/>
          <w:szCs w:val="22"/>
          <w:shd w:val="clear" w:color="auto" w:fill="FFFFFF"/>
        </w:rPr>
        <w:t xml:space="preserve">. Za zbędną powinno się uznać potrzebę powtórnego rozpatrywania przez Trybunał zgodności (…) z Konstytucją, skoro </w:t>
      </w:r>
      <w:r w:rsidRPr="00CC27F9">
        <w:rPr>
          <w:rFonts w:ascii="Arial" w:hAnsi="Arial"/>
          <w:sz w:val="22"/>
          <w:szCs w:val="22"/>
          <w:shd w:val="clear" w:color="auto" w:fill="FFFFFF"/>
        </w:rPr>
        <w:lastRenderedPageBreak/>
        <w:t>przepis ten, co do kwestii, z powodu której orzeczona została jego niekonstytucyjność, się nie zmienił.</w:t>
      </w:r>
    </w:p>
    <w:p w14:paraId="663B72E1" w14:textId="77777777" w:rsidR="000C491F" w:rsidRPr="00CC27F9" w:rsidRDefault="000C491F" w:rsidP="00A37329">
      <w:pPr>
        <w:spacing w:line="366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</w:p>
    <w:p w14:paraId="03EFB96D" w14:textId="4F1D8450" w:rsidR="00A37329" w:rsidRPr="00CC27F9" w:rsidRDefault="00A37329" w:rsidP="00A37329">
      <w:pPr>
        <w:spacing w:line="366" w:lineRule="auto"/>
        <w:jc w:val="both"/>
        <w:rPr>
          <w:rFonts w:ascii="Arial" w:eastAsia="Times New Roman" w:hAnsi="Arial"/>
          <w:sz w:val="22"/>
          <w:szCs w:val="22"/>
        </w:rPr>
      </w:pPr>
      <w:r w:rsidRPr="00CC27F9">
        <w:rPr>
          <w:rFonts w:ascii="Arial" w:hAnsi="Arial"/>
          <w:sz w:val="22"/>
          <w:szCs w:val="22"/>
          <w:shd w:val="clear" w:color="auto" w:fill="FFFFFF"/>
        </w:rPr>
        <w:t>Według rozporządzenia Ministra Sprawiedliwości „w sprawie stawek z urzędu” z dnia</w:t>
      </w:r>
      <w:r w:rsidRPr="00CC27F9">
        <w:rPr>
          <w:rFonts w:ascii="Arial" w:hAnsi="Arial"/>
          <w:sz w:val="22"/>
          <w:szCs w:val="22"/>
          <w:shd w:val="clear" w:color="auto" w:fill="FFFFFF"/>
        </w:rPr>
        <w:br/>
      </w:r>
      <w:r w:rsidRPr="00CC27F9">
        <w:rPr>
          <w:rFonts w:ascii="Arial" w:hAnsi="Arial"/>
          <w:bCs/>
          <w:iCs/>
          <w:sz w:val="22"/>
          <w:szCs w:val="22"/>
        </w:rPr>
        <w:t>3 października 2016</w:t>
      </w:r>
      <w:r w:rsidRPr="00CC27F9">
        <w:rPr>
          <w:rFonts w:ascii="Arial" w:hAnsi="Arial"/>
          <w:sz w:val="22"/>
          <w:szCs w:val="22"/>
          <w:shd w:val="clear" w:color="auto" w:fill="FFFFFF"/>
        </w:rPr>
        <w:t xml:space="preserve">, </w:t>
      </w:r>
      <w:r w:rsidRPr="00CC27F9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stawki wynagrodzenia na rzecz </w:t>
      </w:r>
      <w:r w:rsidR="00870566" w:rsidRPr="00CC27F9">
        <w:rPr>
          <w:rFonts w:ascii="Arial" w:hAnsi="Arial"/>
          <w:b/>
          <w:bCs/>
          <w:sz w:val="22"/>
          <w:szCs w:val="22"/>
          <w:shd w:val="clear" w:color="auto" w:fill="FFFFFF"/>
        </w:rPr>
        <w:t>obrońców</w:t>
      </w:r>
      <w:r w:rsidRPr="00CC27F9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 z urzędu pozostają </w:t>
      </w:r>
      <w:r w:rsidRPr="00CC27F9">
        <w:rPr>
          <w:rFonts w:ascii="Arial" w:hAnsi="Arial"/>
          <w:b/>
          <w:bCs/>
          <w:sz w:val="22"/>
          <w:szCs w:val="22"/>
          <w:shd w:val="clear" w:color="auto" w:fill="FFFFFF"/>
        </w:rPr>
        <w:br/>
        <w:t xml:space="preserve">w proporcji ½ w stosunku do stawek określonych w rozporządzeniu określającym stawki wynagrodzenia na rzecz </w:t>
      </w:r>
      <w:r w:rsidR="0073204A" w:rsidRPr="00CC27F9">
        <w:rPr>
          <w:rFonts w:ascii="Arial" w:hAnsi="Arial"/>
          <w:b/>
          <w:bCs/>
          <w:sz w:val="22"/>
          <w:szCs w:val="22"/>
          <w:shd w:val="clear" w:color="auto" w:fill="FFFFFF"/>
        </w:rPr>
        <w:t>obrońców</w:t>
      </w:r>
      <w:r w:rsidRPr="00CC27F9"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 z wyboru</w:t>
      </w:r>
      <w:r w:rsidRPr="00CC27F9">
        <w:rPr>
          <w:rFonts w:ascii="Arial" w:hAnsi="Arial"/>
          <w:sz w:val="22"/>
          <w:szCs w:val="22"/>
          <w:shd w:val="clear" w:color="auto" w:fill="FFFFFF"/>
        </w:rPr>
        <w:t xml:space="preserve">. Powyższe przesądza zatem, że również </w:t>
      </w:r>
      <w:r w:rsidRPr="00CC27F9">
        <w:rPr>
          <w:rFonts w:ascii="Arial" w:eastAsia="Times New Roman" w:hAnsi="Arial"/>
          <w:sz w:val="22"/>
          <w:szCs w:val="22"/>
        </w:rPr>
        <w:t>§</w:t>
      </w:r>
      <w:r w:rsidR="00D72775">
        <w:rPr>
          <w:rFonts w:ascii="Arial" w:eastAsia="Times New Roman" w:hAnsi="Arial"/>
          <w:sz w:val="22"/>
          <w:szCs w:val="22"/>
        </w:rPr>
        <w:t xml:space="preserve"> 2 pkt. 1 w zw. z </w:t>
      </w:r>
      <w:r w:rsidR="00D72775" w:rsidRPr="00CC27F9">
        <w:rPr>
          <w:rFonts w:ascii="Arial" w:eastAsia="Times New Roman" w:hAnsi="Arial"/>
          <w:sz w:val="22"/>
          <w:szCs w:val="22"/>
        </w:rPr>
        <w:t>§</w:t>
      </w:r>
      <w:r w:rsidR="00D72775">
        <w:rPr>
          <w:rFonts w:ascii="Arial" w:eastAsia="Times New Roman" w:hAnsi="Arial"/>
          <w:sz w:val="22"/>
          <w:szCs w:val="22"/>
        </w:rPr>
        <w:t xml:space="preserve"> </w:t>
      </w:r>
      <w:r w:rsidRPr="00CC27F9">
        <w:rPr>
          <w:rFonts w:ascii="Arial" w:eastAsia="Times New Roman" w:hAnsi="Arial"/>
          <w:sz w:val="22"/>
          <w:szCs w:val="22"/>
        </w:rPr>
        <w:t xml:space="preserve">4 ust. 1 rozporządzenia Ministra Sprawiedliwości z dnia </w:t>
      </w:r>
      <w:r w:rsidR="00D72775">
        <w:rPr>
          <w:rFonts w:ascii="Arial" w:eastAsia="Times New Roman" w:hAnsi="Arial"/>
          <w:sz w:val="22"/>
          <w:szCs w:val="22"/>
        </w:rPr>
        <w:br/>
      </w:r>
      <w:r w:rsidRPr="00CC27F9">
        <w:rPr>
          <w:rFonts w:ascii="Arial" w:eastAsia="Times New Roman" w:hAnsi="Arial"/>
          <w:sz w:val="22"/>
          <w:szCs w:val="22"/>
        </w:rPr>
        <w:t xml:space="preserve">3 października 2016 roku, w zakresie w jakim różnicuje stawki „z urzędu” oraz stawki </w:t>
      </w:r>
      <w:r w:rsidR="00D72775">
        <w:rPr>
          <w:rFonts w:ascii="Arial" w:eastAsia="Times New Roman" w:hAnsi="Arial"/>
          <w:sz w:val="22"/>
          <w:szCs w:val="22"/>
        </w:rPr>
        <w:br/>
      </w:r>
      <w:r w:rsidRPr="00CC27F9">
        <w:rPr>
          <w:rFonts w:ascii="Arial" w:eastAsia="Times New Roman" w:hAnsi="Arial"/>
          <w:sz w:val="22"/>
          <w:szCs w:val="22"/>
        </w:rPr>
        <w:t>„z wyboru” pozostaje sprzeczny z normami wyrażonymi w Konstytucji Rzeczypospolitej Polskiej, w ten sam sposób co do którego wypowiadał się uprzednio Trybunał Konstytucyjny</w:t>
      </w:r>
      <w:r w:rsidR="00870566" w:rsidRPr="00CC27F9">
        <w:rPr>
          <w:rFonts w:ascii="Arial" w:eastAsia="Times New Roman" w:hAnsi="Arial"/>
          <w:sz w:val="22"/>
          <w:szCs w:val="22"/>
        </w:rPr>
        <w:t>.</w:t>
      </w:r>
    </w:p>
    <w:p w14:paraId="1EA92BDE" w14:textId="77777777" w:rsidR="00A37329" w:rsidRPr="00CC27F9" w:rsidRDefault="00A37329" w:rsidP="00A37329">
      <w:pPr>
        <w:spacing w:line="366" w:lineRule="auto"/>
        <w:jc w:val="both"/>
        <w:rPr>
          <w:rFonts w:ascii="Arial" w:eastAsia="Times New Roman" w:hAnsi="Arial"/>
          <w:sz w:val="22"/>
          <w:szCs w:val="22"/>
        </w:rPr>
      </w:pPr>
    </w:p>
    <w:p w14:paraId="5B04B000" w14:textId="0149E74C" w:rsidR="00A37329" w:rsidRPr="00CC27F9" w:rsidRDefault="00A37329" w:rsidP="00A37329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CC27F9">
        <w:rPr>
          <w:rFonts w:ascii="Arial" w:eastAsia="Times New Roman" w:hAnsi="Arial"/>
          <w:sz w:val="22"/>
          <w:szCs w:val="22"/>
        </w:rPr>
        <w:t xml:space="preserve">Podkreślenia wymaga, że </w:t>
      </w:r>
      <w:r w:rsidRPr="00CC27F9">
        <w:rPr>
          <w:rFonts w:ascii="Arial" w:hAnsi="Arial"/>
          <w:sz w:val="22"/>
          <w:szCs w:val="22"/>
        </w:rPr>
        <w:t xml:space="preserve">akt rangi ustawowej tj. art. 29 ustawy z dnia 26 maja 1982 roku - Prawo o adwokaturze, nie zawiera upoważnienia dla aktu wykonawczego pozwalającego na odmienne ukształtowanie wynagrodzeń </w:t>
      </w:r>
      <w:r w:rsidR="00870566" w:rsidRPr="00CC27F9">
        <w:rPr>
          <w:rFonts w:ascii="Arial" w:hAnsi="Arial"/>
          <w:sz w:val="22"/>
          <w:szCs w:val="22"/>
        </w:rPr>
        <w:t>obrońców</w:t>
      </w:r>
      <w:r w:rsidRPr="00CC27F9">
        <w:rPr>
          <w:rFonts w:ascii="Arial" w:hAnsi="Arial"/>
          <w:sz w:val="22"/>
          <w:szCs w:val="22"/>
        </w:rPr>
        <w:t xml:space="preserve"> w zależności od tego, czy działają oni </w:t>
      </w:r>
      <w:r w:rsidR="00870566" w:rsidRPr="00CC27F9">
        <w:rPr>
          <w:rFonts w:ascii="Arial" w:hAnsi="Arial"/>
          <w:sz w:val="22"/>
          <w:szCs w:val="22"/>
        </w:rPr>
        <w:br/>
      </w:r>
      <w:r w:rsidRPr="00CC27F9">
        <w:rPr>
          <w:rFonts w:ascii="Arial" w:hAnsi="Arial"/>
          <w:sz w:val="22"/>
          <w:szCs w:val="22"/>
        </w:rPr>
        <w:t>z wyboru, czy też zostali ustanowienie z urzędu. Tymczasem brak jest jakichkolwiek racjonalnych argumentów, które uzasadniałoby dyskryminujące traktowanie pewnej grupy adwokatów, zwłaszcza, że takiego upoważnienia ustawowego nie można wywieźć z wykładni celowościowej (funkcjonalnej). Odstępstwa od dyrektywy równości, w tym również ochrony praw majątkowych, jest więc niedopuszczalne.</w:t>
      </w:r>
    </w:p>
    <w:p w14:paraId="5DE0CD5C" w14:textId="4A2F95B5" w:rsidR="00A37329" w:rsidRPr="00CC27F9" w:rsidRDefault="00A37329" w:rsidP="00A37329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7540B0C4" w14:textId="77777777" w:rsidR="00585981" w:rsidRPr="00CC27F9" w:rsidRDefault="00585981" w:rsidP="00585981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CC27F9">
        <w:rPr>
          <w:rFonts w:ascii="Arial" w:hAnsi="Arial"/>
          <w:sz w:val="22"/>
          <w:szCs w:val="22"/>
        </w:rPr>
        <w:t xml:space="preserve">W załączeniu do niniejszego wniosku obrońca przedkłada </w:t>
      </w:r>
      <w:r w:rsidRPr="00CC27F9">
        <w:rPr>
          <w:rFonts w:ascii="Arial" w:hAnsi="Arial"/>
          <w:b/>
          <w:bCs/>
          <w:sz w:val="22"/>
          <w:szCs w:val="22"/>
        </w:rPr>
        <w:t>wykaz orzecznictwa</w:t>
      </w:r>
      <w:r w:rsidRPr="00CC27F9">
        <w:rPr>
          <w:rFonts w:ascii="Arial" w:hAnsi="Arial"/>
          <w:sz w:val="22"/>
          <w:szCs w:val="22"/>
        </w:rPr>
        <w:t xml:space="preserve"> Sadu Najwyższego oraz Sądów Powszechnych odnoszący się do powinności przyznawania stawek obrońcy z urzędu według rozporządzenia „z wyboru” oraz uwzględniający postulat sprzeczności obecnie obowiązującego rozporządzenia w sprawie stawek z urzędu z normą konstytucyjną.</w:t>
      </w:r>
    </w:p>
    <w:p w14:paraId="7F0286EC" w14:textId="77777777" w:rsidR="00F05E20" w:rsidRDefault="00F05E20" w:rsidP="00A37329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081C2F3C" w14:textId="70B586D5" w:rsidR="00EC2599" w:rsidRPr="00CC27F9" w:rsidRDefault="00EC2599" w:rsidP="00A37329">
      <w:pPr>
        <w:spacing w:line="360" w:lineRule="auto"/>
        <w:jc w:val="both"/>
        <w:rPr>
          <w:rFonts w:ascii="Arial" w:eastAsia="Times New Roman" w:hAnsi="Arial"/>
          <w:sz w:val="22"/>
          <w:szCs w:val="22"/>
        </w:rPr>
      </w:pPr>
      <w:r w:rsidRPr="00CC27F9">
        <w:rPr>
          <w:rFonts w:ascii="Arial" w:hAnsi="Arial"/>
          <w:sz w:val="22"/>
          <w:szCs w:val="22"/>
        </w:rPr>
        <w:t xml:space="preserve">W zakresie zarzutu dotyczącego odmowy zastosowania </w:t>
      </w:r>
      <w:r w:rsidRPr="00CC27F9">
        <w:rPr>
          <w:rFonts w:ascii="Arial" w:eastAsia="Times New Roman" w:hAnsi="Arial"/>
          <w:sz w:val="22"/>
          <w:szCs w:val="22"/>
        </w:rPr>
        <w:t>§4 ust. 2 pkt 1 w zw.  §17 ust. 2 pkt. 4 rozporządzenia Ministra Sprawiedliwości z dnia 3 października 2016 roku w pełni aktualne pozostają rozważania wyrażone</w:t>
      </w:r>
      <w:r w:rsidR="007D7BF6" w:rsidRPr="00CC27F9">
        <w:rPr>
          <w:rFonts w:ascii="Arial" w:eastAsia="Times New Roman" w:hAnsi="Arial"/>
          <w:sz w:val="22"/>
          <w:szCs w:val="22"/>
        </w:rPr>
        <w:t xml:space="preserve"> w dotychczasowych stanowiskach, w szczególności </w:t>
      </w:r>
      <w:r w:rsidR="00870566" w:rsidRPr="00CC27F9">
        <w:rPr>
          <w:rFonts w:ascii="Arial" w:eastAsia="Times New Roman" w:hAnsi="Arial"/>
          <w:sz w:val="22"/>
          <w:szCs w:val="22"/>
        </w:rPr>
        <w:br/>
      </w:r>
      <w:r w:rsidR="007D7BF6" w:rsidRPr="00CC27F9">
        <w:rPr>
          <w:rFonts w:ascii="Arial" w:eastAsia="Times New Roman" w:hAnsi="Arial"/>
          <w:sz w:val="22"/>
          <w:szCs w:val="22"/>
        </w:rPr>
        <w:t>w zażaleniu na środek zabezpieczający.</w:t>
      </w:r>
    </w:p>
    <w:p w14:paraId="7A6B4872" w14:textId="00C73587" w:rsidR="00EC2599" w:rsidRPr="00CC27F9" w:rsidRDefault="00EC2599" w:rsidP="00A37329">
      <w:pPr>
        <w:spacing w:line="360" w:lineRule="auto"/>
        <w:jc w:val="both"/>
        <w:rPr>
          <w:rFonts w:ascii="Arial" w:eastAsia="Times New Roman" w:hAnsi="Arial"/>
          <w:sz w:val="22"/>
          <w:szCs w:val="22"/>
        </w:rPr>
      </w:pPr>
    </w:p>
    <w:p w14:paraId="2C538EBE" w14:textId="2C2EE543" w:rsidR="00EC2599" w:rsidRDefault="00EC2599" w:rsidP="00EC2599">
      <w:pPr>
        <w:spacing w:line="366" w:lineRule="auto"/>
        <w:jc w:val="both"/>
        <w:rPr>
          <w:rFonts w:ascii="Arial" w:hAnsi="Arial"/>
          <w:bCs/>
          <w:sz w:val="22"/>
          <w:szCs w:val="22"/>
        </w:rPr>
      </w:pPr>
      <w:r w:rsidRPr="00CC27F9">
        <w:rPr>
          <w:rFonts w:ascii="Arial" w:hAnsi="Arial"/>
          <w:bCs/>
          <w:iCs/>
          <w:sz w:val="22"/>
          <w:szCs w:val="22"/>
        </w:rPr>
        <w:t xml:space="preserve">Wskazuje, iż podczas gdy obecnie obowiązującą regulacją jest rozporządzenie </w:t>
      </w:r>
      <w:r w:rsidRPr="00CC27F9">
        <w:rPr>
          <w:rFonts w:ascii="Arial" w:hAnsi="Arial"/>
          <w:bCs/>
          <w:sz w:val="22"/>
          <w:szCs w:val="22"/>
        </w:rPr>
        <w:t xml:space="preserve">Ministra Sprawiedliwości z dnia 3 października 2016 roku w sprawie ponoszenia przez Skarb Państwa kosztów nieopłaconej pomocy prawnej udzielonej przez adwokata z urzędu, tak też określona </w:t>
      </w:r>
      <w:r w:rsidRPr="00CC27F9">
        <w:rPr>
          <w:rFonts w:ascii="Arial" w:hAnsi="Arial"/>
          <w:b/>
          <w:bCs/>
          <w:sz w:val="22"/>
          <w:szCs w:val="22"/>
        </w:rPr>
        <w:t xml:space="preserve">stawka jest identyczna jak w rozporządzeniu Ministra Sprawiedliwości w sprawie opłat za czynności adwokackie oraz ponoszenia przez Skarb Państwa kosztów nieopłaconej pomocy prawnej udzielonej z urzędu z dnia 28 września 2002 roku. </w:t>
      </w:r>
      <w:r w:rsidRPr="00CC27F9">
        <w:rPr>
          <w:rFonts w:ascii="Arial" w:hAnsi="Arial"/>
          <w:bCs/>
          <w:sz w:val="22"/>
          <w:szCs w:val="22"/>
        </w:rPr>
        <w:t xml:space="preserve">Według §14 ust. 2 </w:t>
      </w:r>
      <w:r w:rsidRPr="00CC27F9">
        <w:rPr>
          <w:rFonts w:ascii="Arial" w:hAnsi="Arial"/>
          <w:bCs/>
          <w:sz w:val="22"/>
          <w:szCs w:val="22"/>
        </w:rPr>
        <w:lastRenderedPageBreak/>
        <w:t xml:space="preserve">pkt. </w:t>
      </w:r>
      <w:r w:rsidR="007D7BF6" w:rsidRPr="00CC27F9">
        <w:rPr>
          <w:rFonts w:ascii="Arial" w:hAnsi="Arial"/>
          <w:bCs/>
          <w:sz w:val="22"/>
          <w:szCs w:val="22"/>
        </w:rPr>
        <w:t>4</w:t>
      </w:r>
      <w:r w:rsidRPr="00CC27F9">
        <w:rPr>
          <w:rFonts w:ascii="Arial" w:hAnsi="Arial"/>
          <w:bCs/>
          <w:sz w:val="22"/>
          <w:szCs w:val="22"/>
        </w:rPr>
        <w:t xml:space="preserve"> rozporządzenia z 2002 roku stawka za reprezentowanie podejrzanego/oskarżonego została także określona w stawce </w:t>
      </w:r>
      <w:r w:rsidR="007D7BF6" w:rsidRPr="00CC27F9">
        <w:rPr>
          <w:rFonts w:ascii="Arial" w:hAnsi="Arial"/>
          <w:bCs/>
          <w:sz w:val="22"/>
          <w:szCs w:val="22"/>
        </w:rPr>
        <w:t>420</w:t>
      </w:r>
      <w:r w:rsidRPr="00CC27F9">
        <w:rPr>
          <w:rFonts w:ascii="Arial" w:hAnsi="Arial"/>
          <w:bCs/>
          <w:sz w:val="22"/>
          <w:szCs w:val="22"/>
        </w:rPr>
        <w:t xml:space="preserve"> złotych za postępowanie przed sądem </w:t>
      </w:r>
      <w:r w:rsidR="007D7BF6" w:rsidRPr="00CC27F9">
        <w:rPr>
          <w:rFonts w:ascii="Arial" w:hAnsi="Arial"/>
          <w:bCs/>
          <w:sz w:val="22"/>
          <w:szCs w:val="22"/>
        </w:rPr>
        <w:t>okręgowym jako sądem drugiej instancji</w:t>
      </w:r>
    </w:p>
    <w:p w14:paraId="1E1DFC9B" w14:textId="77777777" w:rsidR="008F5FD8" w:rsidRPr="00CC27F9" w:rsidRDefault="008F5FD8" w:rsidP="00EC2599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</w:p>
    <w:p w14:paraId="09A52548" w14:textId="7689151A" w:rsidR="00EC2599" w:rsidRPr="00CC27F9" w:rsidRDefault="00EC2599" w:rsidP="00EC2599">
      <w:pPr>
        <w:spacing w:line="366" w:lineRule="auto"/>
        <w:jc w:val="both"/>
        <w:rPr>
          <w:rFonts w:ascii="Arial" w:hAnsi="Arial"/>
          <w:b/>
          <w:iCs/>
          <w:sz w:val="22"/>
          <w:szCs w:val="22"/>
        </w:rPr>
      </w:pPr>
      <w:r w:rsidRPr="00CC27F9">
        <w:rPr>
          <w:rFonts w:ascii="Arial" w:hAnsi="Arial"/>
          <w:b/>
          <w:iCs/>
          <w:sz w:val="22"/>
          <w:szCs w:val="22"/>
        </w:rPr>
        <w:t>Wynagrodzenie określone w rozporządzeniu MS z 28 września 2002 roku (Dz. U. Nr 163)</w:t>
      </w:r>
    </w:p>
    <w:p w14:paraId="1F93F0A8" w14:textId="77777777" w:rsidR="00EC2599" w:rsidRPr="00CC27F9" w:rsidRDefault="00EC2599" w:rsidP="00EC2599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  <w:r w:rsidRPr="00CC27F9">
        <w:rPr>
          <w:rFonts w:ascii="Arial" w:hAnsi="Arial"/>
          <w:bCs/>
          <w:iCs/>
          <w:sz w:val="22"/>
          <w:szCs w:val="22"/>
        </w:rPr>
        <w:t>http://isap.sejm.gov.pl/isap.nsf/download.xsp/WDU20021631348/O/D20021348.pdf</w:t>
      </w:r>
    </w:p>
    <w:p w14:paraId="09842B09" w14:textId="77777777" w:rsidR="00EC2599" w:rsidRPr="00CC27F9" w:rsidRDefault="00EC2599" w:rsidP="00EC2599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  <w:r w:rsidRPr="00CC27F9">
        <w:rPr>
          <w:rFonts w:ascii="Arial" w:hAnsi="Arial"/>
          <w:bCs/>
          <w:iC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50BE95B" wp14:editId="0503FDB6">
            <wp:simplePos x="0" y="0"/>
            <wp:positionH relativeFrom="margin">
              <wp:align>right</wp:align>
            </wp:positionH>
            <wp:positionV relativeFrom="paragraph">
              <wp:posOffset>222250</wp:posOffset>
            </wp:positionV>
            <wp:extent cx="2672080" cy="2683510"/>
            <wp:effectExtent l="0" t="0" r="0" b="254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080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3AF1E" w14:textId="77777777" w:rsidR="00EC2599" w:rsidRPr="00CC27F9" w:rsidRDefault="00EC2599" w:rsidP="00EC2599">
      <w:pPr>
        <w:spacing w:line="366" w:lineRule="auto"/>
        <w:jc w:val="both"/>
        <w:rPr>
          <w:rFonts w:ascii="Arial" w:hAnsi="Arial"/>
          <w:bCs/>
          <w:iCs/>
          <w:sz w:val="22"/>
          <w:szCs w:val="22"/>
        </w:rPr>
      </w:pPr>
      <w:r w:rsidRPr="00CC27F9">
        <w:rPr>
          <w:rFonts w:ascii="Arial" w:hAnsi="Arial"/>
          <w:bCs/>
          <w:i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528F032" wp14:editId="0E936B6C">
            <wp:simplePos x="0" y="0"/>
            <wp:positionH relativeFrom="margin">
              <wp:align>left</wp:align>
            </wp:positionH>
            <wp:positionV relativeFrom="paragraph">
              <wp:posOffset>8043</wp:posOffset>
            </wp:positionV>
            <wp:extent cx="2812468" cy="1210733"/>
            <wp:effectExtent l="0" t="0" r="6985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468" cy="1210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1EA3E" w14:textId="77777777" w:rsidR="00EC2599" w:rsidRPr="00CC27F9" w:rsidRDefault="00EC2599" w:rsidP="00EC2599">
      <w:pPr>
        <w:spacing w:line="366" w:lineRule="auto"/>
        <w:jc w:val="both"/>
        <w:rPr>
          <w:rFonts w:ascii="Arial" w:hAnsi="Arial"/>
          <w:bCs/>
          <w:sz w:val="22"/>
          <w:szCs w:val="22"/>
        </w:rPr>
      </w:pPr>
    </w:p>
    <w:p w14:paraId="755405EA" w14:textId="77777777" w:rsidR="00EC2599" w:rsidRPr="00CC27F9" w:rsidRDefault="00EC2599" w:rsidP="00EC2599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3373E775" w14:textId="77777777" w:rsidR="00EC2599" w:rsidRPr="00CC27F9" w:rsidRDefault="00EC2599" w:rsidP="00EC2599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00833A51" w14:textId="77777777" w:rsidR="00EC2599" w:rsidRPr="00CC27F9" w:rsidRDefault="00EC2599" w:rsidP="00EC2599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4560DB7D" w14:textId="77777777" w:rsidR="00EC2599" w:rsidRPr="00CC27F9" w:rsidRDefault="00EC2599" w:rsidP="00EC2599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2FD12EBE" w14:textId="77777777" w:rsidR="00EC2599" w:rsidRPr="00CC27F9" w:rsidRDefault="00EC2599" w:rsidP="00EC2599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06FAF649" w14:textId="77777777" w:rsidR="00EC2599" w:rsidRPr="00CC27F9" w:rsidRDefault="00EC2599" w:rsidP="00EC2599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64C6F807" w14:textId="77777777" w:rsidR="00EC2599" w:rsidRPr="00CC27F9" w:rsidRDefault="00EC2599" w:rsidP="00EC2599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40261682" w14:textId="77777777" w:rsidR="00EC2599" w:rsidRPr="00CC27F9" w:rsidRDefault="00EC2599" w:rsidP="00EC2599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2A26D29D" w14:textId="77777777" w:rsidR="00EC2599" w:rsidRPr="00CC27F9" w:rsidRDefault="00EC2599" w:rsidP="00EC2599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2A0ABB03" w14:textId="77777777" w:rsidR="00F05E20" w:rsidRDefault="00F05E20" w:rsidP="00EC2599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2E6AA4CE" w14:textId="30077B1C" w:rsidR="00EC2599" w:rsidRPr="00CC27F9" w:rsidRDefault="00EC2599" w:rsidP="00EC2599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CC27F9">
        <w:rPr>
          <w:rFonts w:ascii="Arial" w:hAnsi="Arial"/>
          <w:sz w:val="22"/>
          <w:szCs w:val="22"/>
        </w:rPr>
        <w:t xml:space="preserve">Od ustalenia wysokości stawki, która powinna być adekwatna do nakładu pracy adwokata, minęło zatem 19 lat, natomiast stawki wynagrodzenia pozostają w dalszym ciągu tożsame, pomimo ogromnej zmiany wartości pieniądza w tym czasie. </w:t>
      </w:r>
    </w:p>
    <w:p w14:paraId="4C414F86" w14:textId="77777777" w:rsidR="00EC2599" w:rsidRPr="00CC27F9" w:rsidRDefault="00EC2599" w:rsidP="00EC2599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0094959C" w14:textId="77777777" w:rsidR="00EC2599" w:rsidRPr="00CC27F9" w:rsidRDefault="00EC2599" w:rsidP="00EC2599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CC27F9">
        <w:rPr>
          <w:rFonts w:ascii="Arial" w:hAnsi="Arial"/>
          <w:sz w:val="22"/>
          <w:szCs w:val="22"/>
        </w:rPr>
        <w:t>Nadmienię tylko, iż:</w:t>
      </w:r>
    </w:p>
    <w:p w14:paraId="5F3C318D" w14:textId="67B2B33C" w:rsidR="00EC2599" w:rsidRPr="00CC27F9" w:rsidRDefault="00EC2599" w:rsidP="00EC259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CC27F9">
        <w:rPr>
          <w:rFonts w:ascii="Arial" w:hAnsi="Arial"/>
          <w:sz w:val="22"/>
          <w:szCs w:val="22"/>
        </w:rPr>
        <w:t xml:space="preserve">zgodnie z istniejącymi wskaźnikami wartość inflacji od roku 2002, wg wskaźników GUS to łącznie około </w:t>
      </w:r>
      <w:r w:rsidRPr="00CC27F9">
        <w:rPr>
          <w:rFonts w:ascii="Arial" w:hAnsi="Arial"/>
          <w:b/>
          <w:bCs/>
          <w:sz w:val="22"/>
          <w:szCs w:val="22"/>
        </w:rPr>
        <w:t>46,52 %</w:t>
      </w:r>
      <w:r w:rsidR="00A27D75">
        <w:rPr>
          <w:rFonts w:ascii="Arial" w:hAnsi="Arial"/>
          <w:b/>
          <w:bCs/>
          <w:sz w:val="22"/>
          <w:szCs w:val="22"/>
        </w:rPr>
        <w:t xml:space="preserve">, </w:t>
      </w:r>
      <w:r w:rsidR="00A27D75">
        <w:rPr>
          <w:rFonts w:ascii="Arial" w:hAnsi="Arial"/>
          <w:sz w:val="22"/>
          <w:szCs w:val="22"/>
        </w:rPr>
        <w:t>przy czym wskaźnik inflacji za ostatnie miesiące 2021 roku to prawie 8%;</w:t>
      </w:r>
    </w:p>
    <w:p w14:paraId="2345CAB0" w14:textId="062CA8FB" w:rsidR="00EC2599" w:rsidRPr="00CC27F9" w:rsidRDefault="00EC2599" w:rsidP="00EC259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CC27F9">
        <w:rPr>
          <w:rFonts w:ascii="Arial" w:hAnsi="Arial"/>
          <w:sz w:val="22"/>
          <w:szCs w:val="22"/>
        </w:rPr>
        <w:t xml:space="preserve">minimalne wynagrodzenie w 2002 r wynosiło </w:t>
      </w:r>
      <w:r w:rsidRPr="00CC27F9">
        <w:rPr>
          <w:rFonts w:ascii="Arial" w:hAnsi="Arial"/>
          <w:b/>
          <w:bCs/>
          <w:sz w:val="22"/>
          <w:szCs w:val="22"/>
        </w:rPr>
        <w:t>760 zł brutto</w:t>
      </w:r>
      <w:r w:rsidRPr="00CC27F9">
        <w:rPr>
          <w:rFonts w:ascii="Arial" w:hAnsi="Arial"/>
          <w:sz w:val="22"/>
          <w:szCs w:val="22"/>
        </w:rPr>
        <w:t xml:space="preserve">, podczas gdy obecnie minimalne wynagrodzenie wynosi </w:t>
      </w:r>
      <w:r w:rsidR="00A27D75">
        <w:rPr>
          <w:rFonts w:ascii="Arial" w:hAnsi="Arial"/>
          <w:b/>
          <w:bCs/>
          <w:sz w:val="22"/>
          <w:szCs w:val="22"/>
        </w:rPr>
        <w:t>3 010</w:t>
      </w:r>
      <w:r w:rsidRPr="00CC27F9">
        <w:rPr>
          <w:rFonts w:ascii="Arial" w:hAnsi="Arial"/>
          <w:b/>
          <w:bCs/>
          <w:sz w:val="22"/>
          <w:szCs w:val="22"/>
        </w:rPr>
        <w:t xml:space="preserve"> zł brutto; </w:t>
      </w:r>
      <w:r w:rsidRPr="00CC27F9">
        <w:rPr>
          <w:rFonts w:ascii="Arial" w:hAnsi="Arial"/>
          <w:sz w:val="22"/>
          <w:szCs w:val="22"/>
        </w:rPr>
        <w:t xml:space="preserve">tj. wzrost o </w:t>
      </w:r>
      <w:r w:rsidRPr="00CC27F9">
        <w:rPr>
          <w:rFonts w:ascii="Arial" w:hAnsi="Arial"/>
          <w:b/>
          <w:bCs/>
          <w:sz w:val="22"/>
          <w:szCs w:val="22"/>
        </w:rPr>
        <w:t>3</w:t>
      </w:r>
      <w:r w:rsidR="00A27D75">
        <w:rPr>
          <w:rFonts w:ascii="Arial" w:hAnsi="Arial"/>
          <w:b/>
          <w:bCs/>
          <w:sz w:val="22"/>
          <w:szCs w:val="22"/>
        </w:rPr>
        <w:t>96</w:t>
      </w:r>
      <w:r w:rsidRPr="00CC27F9">
        <w:rPr>
          <w:rFonts w:ascii="Arial" w:hAnsi="Arial"/>
          <w:b/>
          <w:bCs/>
          <w:sz w:val="22"/>
          <w:szCs w:val="22"/>
        </w:rPr>
        <w:t>%</w:t>
      </w:r>
      <w:r w:rsidRPr="00CC27F9">
        <w:rPr>
          <w:rFonts w:ascii="Arial" w:hAnsi="Arial"/>
          <w:sz w:val="22"/>
          <w:szCs w:val="22"/>
        </w:rPr>
        <w:t>;</w:t>
      </w:r>
    </w:p>
    <w:p w14:paraId="477D866C" w14:textId="575280CE" w:rsidR="00EC2599" w:rsidRPr="00CC27F9" w:rsidRDefault="00EC2599" w:rsidP="00EC259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CC27F9">
        <w:rPr>
          <w:rFonts w:ascii="Arial" w:hAnsi="Arial"/>
          <w:sz w:val="22"/>
          <w:szCs w:val="22"/>
        </w:rPr>
        <w:t xml:space="preserve">przeciętne wynagrodzenie w 2002 r. wynosiło </w:t>
      </w:r>
      <w:r w:rsidRPr="00CC27F9">
        <w:rPr>
          <w:rFonts w:ascii="Arial" w:hAnsi="Arial"/>
          <w:b/>
          <w:bCs/>
          <w:sz w:val="22"/>
          <w:szCs w:val="22"/>
        </w:rPr>
        <w:t>2 133,21 zł</w:t>
      </w:r>
      <w:r w:rsidRPr="00CC27F9">
        <w:rPr>
          <w:rFonts w:ascii="Arial" w:hAnsi="Arial"/>
          <w:sz w:val="22"/>
          <w:szCs w:val="22"/>
        </w:rPr>
        <w:t xml:space="preserve">, podczas gdy obecnie przeciętne wynagrodzenie wynosi </w:t>
      </w:r>
      <w:r w:rsidRPr="00CC27F9">
        <w:rPr>
          <w:rFonts w:ascii="Arial" w:hAnsi="Arial"/>
          <w:b/>
          <w:bCs/>
          <w:sz w:val="22"/>
          <w:szCs w:val="22"/>
        </w:rPr>
        <w:t>5 </w:t>
      </w:r>
      <w:r w:rsidR="00176F6E">
        <w:rPr>
          <w:rFonts w:ascii="Arial" w:hAnsi="Arial"/>
          <w:b/>
          <w:bCs/>
          <w:sz w:val="22"/>
          <w:szCs w:val="22"/>
        </w:rPr>
        <w:t>922</w:t>
      </w:r>
      <w:r w:rsidRPr="00CC27F9">
        <w:rPr>
          <w:rFonts w:ascii="Arial" w:hAnsi="Arial"/>
          <w:b/>
          <w:bCs/>
          <w:sz w:val="22"/>
          <w:szCs w:val="22"/>
        </w:rPr>
        <w:t xml:space="preserve"> zł </w:t>
      </w:r>
      <w:r w:rsidRPr="00CC27F9">
        <w:rPr>
          <w:rFonts w:ascii="Arial" w:hAnsi="Arial"/>
          <w:sz w:val="22"/>
          <w:szCs w:val="22"/>
        </w:rPr>
        <w:t xml:space="preserve">tj. wzrost </w:t>
      </w:r>
      <w:r w:rsidRPr="00CC27F9">
        <w:rPr>
          <w:rFonts w:ascii="Arial" w:hAnsi="Arial"/>
          <w:b/>
          <w:bCs/>
          <w:sz w:val="22"/>
          <w:szCs w:val="22"/>
        </w:rPr>
        <w:t>o 27</w:t>
      </w:r>
      <w:r w:rsidR="00176F6E">
        <w:rPr>
          <w:rFonts w:ascii="Arial" w:hAnsi="Arial"/>
          <w:b/>
          <w:bCs/>
          <w:sz w:val="22"/>
          <w:szCs w:val="22"/>
        </w:rPr>
        <w:t>8</w:t>
      </w:r>
      <w:r w:rsidRPr="00CC27F9">
        <w:rPr>
          <w:rFonts w:ascii="Arial" w:hAnsi="Arial"/>
          <w:b/>
          <w:bCs/>
          <w:sz w:val="22"/>
          <w:szCs w:val="22"/>
        </w:rPr>
        <w:t>%;</w:t>
      </w:r>
    </w:p>
    <w:p w14:paraId="359AB7D3" w14:textId="77777777" w:rsidR="00EC2599" w:rsidRPr="00CC27F9" w:rsidRDefault="00EC2599" w:rsidP="00EC259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CC27F9">
        <w:rPr>
          <w:rFonts w:ascii="Arial" w:hAnsi="Arial"/>
          <w:sz w:val="22"/>
          <w:szCs w:val="22"/>
        </w:rPr>
        <w:t>wynagrodzenie radcy prawnego Prokuratorii Generalnej Skarbu Państwa w stawce podstawowej wynosi 80% stawki zasadniczej sędziego sądu rejonowego (w 2002 roku PGSP nie istniała);</w:t>
      </w:r>
    </w:p>
    <w:p w14:paraId="0B8AE449" w14:textId="77777777" w:rsidR="00EC2599" w:rsidRPr="00CC27F9" w:rsidRDefault="00EC2599" w:rsidP="00EC259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CC27F9">
        <w:rPr>
          <w:rFonts w:ascii="Arial" w:hAnsi="Arial"/>
          <w:sz w:val="22"/>
          <w:szCs w:val="22"/>
        </w:rPr>
        <w:t>wynagrodzenie sędziego Sądu Rejonowego w 2002 r. wynosiło ok. 3 300 złotych, podczas gdy obecny wskaźnik wynagrodzenia sędziego kształtuje się na poziomie minimalnym 205% średniego wynagrodzenia;</w:t>
      </w:r>
    </w:p>
    <w:p w14:paraId="6A6474B2" w14:textId="77777777" w:rsidR="00EC2599" w:rsidRPr="00CC27F9" w:rsidRDefault="00EC2599" w:rsidP="00EC2599">
      <w:pPr>
        <w:pStyle w:val="Akapitzlist"/>
        <w:spacing w:line="360" w:lineRule="auto"/>
        <w:ind w:left="789"/>
        <w:jc w:val="both"/>
        <w:rPr>
          <w:rFonts w:ascii="Arial" w:hAnsi="Arial"/>
          <w:sz w:val="22"/>
          <w:szCs w:val="22"/>
        </w:rPr>
      </w:pPr>
    </w:p>
    <w:p w14:paraId="2ADDC900" w14:textId="78B533C2" w:rsidR="00EC2599" w:rsidRDefault="00EC2599" w:rsidP="00EC2599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CC27F9">
        <w:rPr>
          <w:rFonts w:ascii="Arial" w:hAnsi="Arial"/>
          <w:sz w:val="22"/>
          <w:szCs w:val="22"/>
        </w:rPr>
        <w:lastRenderedPageBreak/>
        <w:t>Mówimy tutaj jedynie o uśrednionych wskaźnikach statystycznych. Żądana wysokość wynagrodzenia jest próbą urealnienia wynagrodzenia adwokackiego, które – mimo wzrostu wynagrodzeń w każdej dziedziczenia życia nie uległo stosownej zmianie.</w:t>
      </w:r>
    </w:p>
    <w:p w14:paraId="31F202A9" w14:textId="46D4B6B8" w:rsidR="00EC2599" w:rsidRPr="00CC27F9" w:rsidRDefault="00EC2599" w:rsidP="00EC2599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CC27F9">
        <w:rPr>
          <w:rFonts w:ascii="Arial" w:hAnsi="Arial"/>
          <w:sz w:val="22"/>
          <w:szCs w:val="22"/>
        </w:rPr>
        <w:t>Jakkolwiek katalog przyczyn, o którym mowa w § 4 ust. 2 rozporządzenia Ministra Sprawiedliwości w sprawie stawek z urzędu nie zawiera wprost przesłanki zmiany wartości siły nabywczej pieniądza, taki wniosek można wywieść z przesłanki „</w:t>
      </w:r>
      <w:r w:rsidRPr="00CC27F9">
        <w:rPr>
          <w:rFonts w:ascii="Arial" w:hAnsi="Arial"/>
          <w:i/>
          <w:iCs/>
          <w:sz w:val="22"/>
          <w:szCs w:val="22"/>
          <w:u w:val="single"/>
        </w:rPr>
        <w:t>nakładu pracy adwokata, w szczególności czasu poświęconego na przygotowanie się do przygotowania sprawy, stawiennictw w sądzie, w tym na rozprawach i posiedzeniach, czynności podjętych w sprawie, w tym czynnościach podjętych w celu polubownego rozwiązania sporu, również przed wniesieniem pozwu”.</w:t>
      </w:r>
      <w:r w:rsidRPr="00CC27F9">
        <w:rPr>
          <w:rFonts w:ascii="Arial" w:hAnsi="Arial"/>
          <w:sz w:val="22"/>
          <w:szCs w:val="22"/>
        </w:rPr>
        <w:t xml:space="preserve"> Skoro przesłanka ta odnosi się bezpośrednio do rzeczywistej wyceny pracy adwokata oraz wysiłku poświęconego sprawie, powinna także uwzględniać realność wartości nabywczej pieniądza. </w:t>
      </w:r>
    </w:p>
    <w:p w14:paraId="2C5CDAA6" w14:textId="77777777" w:rsidR="00EC2599" w:rsidRPr="00CC27F9" w:rsidRDefault="00EC2599" w:rsidP="00EC2599">
      <w:p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</w:p>
    <w:p w14:paraId="465861F3" w14:textId="3BF62292" w:rsidR="00883A1B" w:rsidRPr="00CC27F9" w:rsidRDefault="00883A1B" w:rsidP="00461056">
      <w:pPr>
        <w:tabs>
          <w:tab w:val="left" w:pos="4536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</w:p>
    <w:p w14:paraId="0F53CD73" w14:textId="42CE9149" w:rsidR="002E52E3" w:rsidRPr="00CC27F9" w:rsidRDefault="00712D03" w:rsidP="00461056">
      <w:pPr>
        <w:tabs>
          <w:tab w:val="left" w:pos="4536"/>
        </w:tabs>
        <w:spacing w:line="366" w:lineRule="auto"/>
        <w:jc w:val="both"/>
        <w:rPr>
          <w:rFonts w:ascii="Arial" w:eastAsia="Times New Roman" w:hAnsi="Arial"/>
          <w:sz w:val="22"/>
          <w:szCs w:val="22"/>
        </w:rPr>
      </w:pPr>
      <w:r w:rsidRPr="00CC27F9">
        <w:rPr>
          <w:rFonts w:ascii="Arial" w:eastAsia="Times New Roman" w:hAnsi="Arial"/>
          <w:sz w:val="22"/>
          <w:szCs w:val="22"/>
        </w:rPr>
        <w:t xml:space="preserve"> </w:t>
      </w:r>
    </w:p>
    <w:p w14:paraId="2ABE2C16" w14:textId="3D0B8925" w:rsidR="002A7F95" w:rsidRDefault="002A7F95" w:rsidP="00C874E7">
      <w:pPr>
        <w:tabs>
          <w:tab w:val="left" w:pos="4536"/>
        </w:tabs>
        <w:spacing w:line="366" w:lineRule="auto"/>
        <w:jc w:val="right"/>
        <w:rPr>
          <w:rFonts w:ascii="Arial" w:eastAsia="Times New Roman" w:hAnsi="Arial"/>
          <w:b/>
          <w:sz w:val="22"/>
          <w:szCs w:val="22"/>
        </w:rPr>
      </w:pPr>
      <w:r w:rsidRPr="00CC27F9">
        <w:rPr>
          <w:rFonts w:ascii="Arial" w:eastAsia="Times New Roman" w:hAnsi="Arial"/>
          <w:b/>
          <w:sz w:val="22"/>
          <w:szCs w:val="22"/>
        </w:rPr>
        <w:t>____________________________</w:t>
      </w:r>
    </w:p>
    <w:p w14:paraId="7E991931" w14:textId="767FF21B" w:rsidR="00F05E20" w:rsidRDefault="00F05E20" w:rsidP="00F05E20">
      <w:pPr>
        <w:tabs>
          <w:tab w:val="left" w:pos="4536"/>
        </w:tabs>
        <w:spacing w:line="366" w:lineRule="auto"/>
        <w:rPr>
          <w:rFonts w:ascii="Arial" w:eastAsia="Times New Roman" w:hAnsi="Arial"/>
          <w:b/>
          <w:sz w:val="22"/>
          <w:szCs w:val="22"/>
        </w:rPr>
      </w:pPr>
    </w:p>
    <w:p w14:paraId="2577F749" w14:textId="06568091" w:rsidR="00F05E20" w:rsidRDefault="00F05E20" w:rsidP="00F05E20">
      <w:pPr>
        <w:tabs>
          <w:tab w:val="left" w:pos="4536"/>
        </w:tabs>
        <w:spacing w:line="366" w:lineRule="auto"/>
        <w:rPr>
          <w:rFonts w:ascii="Arial" w:eastAsia="Times New Roman" w:hAnsi="Arial"/>
          <w:b/>
          <w:sz w:val="22"/>
          <w:szCs w:val="22"/>
        </w:rPr>
      </w:pPr>
    </w:p>
    <w:p w14:paraId="3F8EF45F" w14:textId="214CE5FF" w:rsidR="00F05E20" w:rsidRPr="00F05E20" w:rsidRDefault="00F05E20" w:rsidP="00F05E20">
      <w:pPr>
        <w:tabs>
          <w:tab w:val="left" w:pos="4536"/>
        </w:tabs>
        <w:spacing w:line="366" w:lineRule="auto"/>
        <w:rPr>
          <w:rFonts w:ascii="Arial" w:eastAsia="Times New Roman" w:hAnsi="Arial"/>
          <w:b/>
          <w:sz w:val="22"/>
          <w:szCs w:val="22"/>
        </w:rPr>
      </w:pPr>
      <w:r w:rsidRPr="00F05E20">
        <w:rPr>
          <w:rFonts w:ascii="Arial" w:eastAsia="Times New Roman" w:hAnsi="Arial"/>
          <w:b/>
          <w:sz w:val="22"/>
          <w:szCs w:val="22"/>
        </w:rPr>
        <w:t>W załączeniu:</w:t>
      </w:r>
    </w:p>
    <w:p w14:paraId="1E203D82" w14:textId="06957DCB" w:rsidR="00F05E20" w:rsidRPr="00F05E20" w:rsidRDefault="00F05E20" w:rsidP="00F05E20">
      <w:pPr>
        <w:pStyle w:val="Akapitzlist"/>
        <w:numPr>
          <w:ilvl w:val="0"/>
          <w:numId w:val="19"/>
        </w:numPr>
        <w:tabs>
          <w:tab w:val="left" w:pos="4536"/>
        </w:tabs>
        <w:spacing w:line="366" w:lineRule="auto"/>
        <w:rPr>
          <w:rFonts w:ascii="Arial" w:eastAsia="Times New Roman" w:hAnsi="Arial"/>
          <w:bCs/>
          <w:sz w:val="22"/>
          <w:szCs w:val="22"/>
        </w:rPr>
      </w:pPr>
      <w:r>
        <w:rPr>
          <w:rFonts w:ascii="Arial" w:eastAsia="Times New Roman" w:hAnsi="Arial"/>
          <w:bCs/>
          <w:sz w:val="22"/>
          <w:szCs w:val="22"/>
        </w:rPr>
        <w:t>wykaz orzecznictwa Sądu Najwyższego oraz sądów powszechnych;</w:t>
      </w:r>
    </w:p>
    <w:sectPr w:rsidR="00F05E20" w:rsidRPr="00F05E20" w:rsidSect="000408B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440" w:bottom="875" w:left="1440" w:header="0" w:footer="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59889" w14:textId="77777777" w:rsidR="00114564" w:rsidRDefault="00114564" w:rsidP="000408B0">
      <w:r>
        <w:separator/>
      </w:r>
    </w:p>
  </w:endnote>
  <w:endnote w:type="continuationSeparator" w:id="0">
    <w:p w14:paraId="41145DC7" w14:textId="77777777" w:rsidR="00114564" w:rsidRDefault="00114564" w:rsidP="0004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8273481"/>
      <w:docPartObj>
        <w:docPartGallery w:val="Page Numbers (Bottom of Page)"/>
        <w:docPartUnique/>
      </w:docPartObj>
    </w:sdtPr>
    <w:sdtEndPr/>
    <w:sdtContent>
      <w:p w14:paraId="1A7B426B" w14:textId="427FF428" w:rsidR="00571EE1" w:rsidRDefault="00571E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4F83AD" w14:textId="77777777" w:rsidR="00571EE1" w:rsidRDefault="00571E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41F5" w14:textId="193112E0" w:rsidR="00BE39BC" w:rsidRDefault="00193C1E">
    <w:pPr>
      <w:pStyle w:val="Stopka"/>
    </w:pPr>
    <w:r>
      <w:t xml:space="preserve"> </w:t>
    </w:r>
  </w:p>
  <w:p w14:paraId="54F1169D" w14:textId="77777777" w:rsidR="00BE39BC" w:rsidRDefault="00BE39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EA0DC" w14:textId="77777777" w:rsidR="00114564" w:rsidRDefault="00114564" w:rsidP="000408B0">
      <w:r>
        <w:separator/>
      </w:r>
    </w:p>
  </w:footnote>
  <w:footnote w:type="continuationSeparator" w:id="0">
    <w:p w14:paraId="15C6E430" w14:textId="77777777" w:rsidR="00114564" w:rsidRDefault="00114564" w:rsidP="000408B0">
      <w:r>
        <w:continuationSeparator/>
      </w:r>
    </w:p>
  </w:footnote>
  <w:footnote w:id="1">
    <w:p w14:paraId="593DEB12" w14:textId="77777777" w:rsidR="00944998" w:rsidRDefault="00944998" w:rsidP="0094499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72C7C">
        <w:rPr>
          <w:rFonts w:ascii="Arial" w:hAnsi="Arial"/>
          <w:sz w:val="18"/>
          <w:szCs w:val="18"/>
        </w:rPr>
        <w:t xml:space="preserve">Na taką konstatację wskazują pośrednio orzeczenia Trybunału Sprawiedliwości Unii Europejskiej (wyrok TSUE z dnia 6 października 2021 roku – C 487/19; wyrok TSUE z dnia </w:t>
      </w:r>
      <w:r>
        <w:rPr>
          <w:rFonts w:ascii="Arial" w:hAnsi="Arial"/>
          <w:sz w:val="18"/>
          <w:szCs w:val="18"/>
        </w:rPr>
        <w:t>2 marca</w:t>
      </w:r>
      <w:r w:rsidRPr="00472C7C">
        <w:rPr>
          <w:rFonts w:ascii="Arial" w:hAnsi="Arial"/>
          <w:sz w:val="18"/>
          <w:szCs w:val="18"/>
        </w:rPr>
        <w:t xml:space="preserve"> 2021 roku – C </w:t>
      </w:r>
      <w:r>
        <w:rPr>
          <w:rFonts w:ascii="Arial" w:hAnsi="Arial"/>
          <w:sz w:val="18"/>
          <w:szCs w:val="18"/>
        </w:rPr>
        <w:t>824</w:t>
      </w:r>
      <w:r w:rsidRPr="00472C7C">
        <w:rPr>
          <w:rFonts w:ascii="Arial" w:hAnsi="Arial"/>
          <w:sz w:val="18"/>
          <w:szCs w:val="18"/>
        </w:rPr>
        <w:t>/1</w:t>
      </w:r>
      <w:r>
        <w:rPr>
          <w:rFonts w:ascii="Arial" w:hAnsi="Arial"/>
          <w:sz w:val="18"/>
          <w:szCs w:val="18"/>
        </w:rPr>
        <w:t>8</w:t>
      </w:r>
      <w:r w:rsidRPr="00472C7C">
        <w:rPr>
          <w:rFonts w:ascii="Arial" w:hAnsi="Arial"/>
          <w:sz w:val="18"/>
          <w:szCs w:val="18"/>
        </w:rPr>
        <w:t>; postanowienie zabezpieczające z dnia 14 lipca 2021 roku – C 204/2) oraz orzecznictwem Europejskiego Trybunału Praw Człowieka (wyrok w sprawie skargi nr 26374/18 Guðmundur Andri Ástráðsson pko Islandii oraz wyrok w sprawie skargi nr 4344719 Reczkowicz pko Polsce)</w:t>
      </w:r>
      <w:r>
        <w:rPr>
          <w:rFonts w:ascii="Arial" w:hAnsi="Arial"/>
          <w:sz w:val="18"/>
          <w:szCs w:val="18"/>
        </w:rPr>
        <w:t xml:space="preserve">, a zwłaszcza wyrok Europejskiego Trybunału Praw Człowieka z dnia 7 maja 2021 roku w sprawie skargi nr 4907/18 Xero Flor w Polsce sp. z o.o. pko Polsce. </w:t>
      </w:r>
    </w:p>
  </w:footnote>
  <w:footnote w:id="2">
    <w:p w14:paraId="4447B580" w14:textId="77777777" w:rsidR="00A37329" w:rsidRDefault="00A37329" w:rsidP="00A3732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C2008">
        <w:rPr>
          <w:rFonts w:ascii="Arial" w:hAnsi="Arial"/>
          <w:sz w:val="18"/>
          <w:szCs w:val="18"/>
        </w:rPr>
        <w:t>M. Gutowski; P. Kardas „Wykładnia i stosowanie prawa w procesie opartym na Konstytucji”</w:t>
      </w:r>
      <w:r>
        <w:rPr>
          <w:rFonts w:ascii="Arial" w:hAnsi="Arial"/>
          <w:sz w:val="18"/>
          <w:szCs w:val="18"/>
        </w:rPr>
        <w:t xml:space="preserve"> s. 196</w:t>
      </w:r>
      <w:r w:rsidRPr="005C2008">
        <w:rPr>
          <w:rFonts w:ascii="Arial" w:hAnsi="Arial"/>
          <w:sz w:val="18"/>
          <w:szCs w:val="18"/>
        </w:rPr>
        <w:t>; CH Beck. Warszawa 2017; P. Mikuli „Doktryna konieczności jako uzasadnienie dla rozproszonej kontroli konstytucyjności ustaw w Polsce”</w:t>
      </w:r>
      <w:r>
        <w:rPr>
          <w:rFonts w:ascii="Arial" w:hAnsi="Arial"/>
          <w:sz w:val="18"/>
          <w:szCs w:val="18"/>
        </w:rPr>
        <w:t xml:space="preserve">; M. Gutowski; P. Kardas „Sądowa kontrola konstytucyjności prawa. Kilka uwag o kompetencjach sądów powszechnych do bezpośredniego stosowania Konstytucji” Palestra 2016 nr 4, str. 9; L. Garlicki „Sądy </w:t>
      </w:r>
      <w:r>
        <w:rPr>
          <w:rFonts w:ascii="Arial" w:hAnsi="Arial"/>
          <w:sz w:val="18"/>
          <w:szCs w:val="18"/>
        </w:rPr>
        <w:br/>
        <w:t xml:space="preserve">a Konstytucja Rzeczypospolitej Polskiej” Przegląd Sadowy nr 7-8, str. 14; </w:t>
      </w:r>
    </w:p>
  </w:footnote>
  <w:footnote w:id="3">
    <w:p w14:paraId="0E0AD46F" w14:textId="77777777" w:rsidR="00A37329" w:rsidRPr="00217954" w:rsidRDefault="00A37329" w:rsidP="00A37329">
      <w:pPr>
        <w:pStyle w:val="Tekstprzypisudolnego"/>
        <w:jc w:val="both"/>
        <w:rPr>
          <w:rFonts w:ascii="Arial" w:hAnsi="Arial"/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215B0">
        <w:rPr>
          <w:rFonts w:ascii="Arial" w:hAnsi="Arial"/>
          <w:sz w:val="18"/>
          <w:szCs w:val="18"/>
        </w:rPr>
        <w:t xml:space="preserve">We wcześniejszym orzeczenie Sądowym możliwość taka została potwierdzona w wyroku SN z dnia 3 grudnia 2008 roku, sygn. akt. V CSK 310/08 (OSNC 2016/12/148) zgodnie z którym </w:t>
      </w:r>
      <w:r w:rsidRPr="007215B0">
        <w:rPr>
          <w:rFonts w:ascii="Arial" w:hAnsi="Arial"/>
          <w:i/>
          <w:iCs/>
          <w:sz w:val="18"/>
          <w:szCs w:val="18"/>
        </w:rPr>
        <w:t>„sąd może stwierdzić, że rozporządzenie (określony jego fragment) jest sprzeczny z ustawą”</w:t>
      </w:r>
      <w:r>
        <w:rPr>
          <w:rFonts w:ascii="Arial" w:hAnsi="Arial"/>
          <w:b/>
          <w:bCs/>
          <w:i/>
          <w:iCs/>
          <w:sz w:val="18"/>
          <w:szCs w:val="18"/>
        </w:rPr>
        <w:t xml:space="preserve">. </w:t>
      </w:r>
      <w:r w:rsidRPr="007215B0">
        <w:rPr>
          <w:rFonts w:ascii="Arial" w:hAnsi="Arial"/>
          <w:sz w:val="18"/>
          <w:szCs w:val="18"/>
        </w:rPr>
        <w:t>W najnowszym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2A056A">
        <w:rPr>
          <w:rFonts w:ascii="Arial" w:hAnsi="Arial"/>
          <w:sz w:val="18"/>
          <w:szCs w:val="18"/>
        </w:rPr>
        <w:t xml:space="preserve">orzecznictwie </w:t>
      </w:r>
      <w:r>
        <w:rPr>
          <w:rFonts w:ascii="Arial" w:hAnsi="Arial"/>
          <w:sz w:val="18"/>
          <w:szCs w:val="18"/>
        </w:rPr>
        <w:t>s</w:t>
      </w:r>
      <w:r w:rsidRPr="002A056A">
        <w:rPr>
          <w:rFonts w:ascii="Arial" w:hAnsi="Arial"/>
          <w:sz w:val="18"/>
          <w:szCs w:val="18"/>
        </w:rPr>
        <w:t xml:space="preserve">ądowym za taką </w:t>
      </w:r>
      <w:r>
        <w:rPr>
          <w:rFonts w:ascii="Arial" w:hAnsi="Arial"/>
          <w:sz w:val="18"/>
          <w:szCs w:val="18"/>
        </w:rPr>
        <w:t>możliwością</w:t>
      </w:r>
      <w:r w:rsidRPr="002A056A">
        <w:rPr>
          <w:rFonts w:ascii="Arial" w:hAnsi="Arial"/>
          <w:sz w:val="18"/>
          <w:szCs w:val="18"/>
        </w:rPr>
        <w:t xml:space="preserve"> wypowiedział się m.in. Sąd Najwyższy w wyroku z dnia 17 marca 2016 roku, sygn. akt. V CSK 377/15, OSNC 2016/12/14</w:t>
      </w:r>
      <w:r>
        <w:rPr>
          <w:rFonts w:ascii="Arial" w:hAnsi="Arial"/>
          <w:sz w:val="18"/>
          <w:szCs w:val="18"/>
        </w:rPr>
        <w:t xml:space="preserve">8 (wtórna niekonstytucyjność przepisów). Możliwość władczego badania rozporządzeń pod kątem ich zgodności z ustawą dopuszcza także Sąd Apelacyjny w Krakowie (II AKa 824/20, nie publ.)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51CF" w14:textId="77777777" w:rsidR="000408B0" w:rsidRDefault="000408B0">
    <w:pPr>
      <w:pStyle w:val="Nagwek"/>
    </w:pPr>
  </w:p>
  <w:p w14:paraId="13FD52DC" w14:textId="77777777" w:rsidR="000408B0" w:rsidRDefault="000408B0">
    <w:pPr>
      <w:pStyle w:val="Nagwek"/>
    </w:pPr>
  </w:p>
  <w:p w14:paraId="78608188" w14:textId="77777777" w:rsidR="000408B0" w:rsidRDefault="000408B0">
    <w:pPr>
      <w:pStyle w:val="Nagwek"/>
    </w:pPr>
  </w:p>
  <w:p w14:paraId="295646C7" w14:textId="77777777" w:rsidR="000408B0" w:rsidRDefault="00FD2B8D" w:rsidP="00FD2B8D">
    <w:pPr>
      <w:pStyle w:val="Nagwek"/>
      <w:tabs>
        <w:tab w:val="clear" w:pos="4536"/>
        <w:tab w:val="clear" w:pos="9072"/>
        <w:tab w:val="left" w:pos="172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F771" w14:textId="77777777" w:rsidR="000408B0" w:rsidRDefault="000408B0">
    <w:pPr>
      <w:pStyle w:val="Nagwek"/>
    </w:pPr>
  </w:p>
  <w:p w14:paraId="57D87AE6" w14:textId="617930FD" w:rsidR="000408B0" w:rsidRDefault="000408B0">
    <w:pPr>
      <w:pStyle w:val="Nagwek"/>
    </w:pPr>
  </w:p>
  <w:p w14:paraId="4AB2224F" w14:textId="77777777" w:rsidR="000408B0" w:rsidRDefault="000408B0">
    <w:pPr>
      <w:pStyle w:val="Nagwek"/>
    </w:pPr>
  </w:p>
  <w:p w14:paraId="2EDB16FA" w14:textId="77777777" w:rsidR="000408B0" w:rsidRDefault="000408B0">
    <w:pPr>
      <w:pStyle w:val="Nagwek"/>
    </w:pPr>
  </w:p>
  <w:p w14:paraId="260D4C57" w14:textId="77777777" w:rsidR="000408B0" w:rsidRDefault="000408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148EF948">
      <w:start w:val="1"/>
      <w:numFmt w:val="decimal"/>
      <w:lvlText w:val="%1."/>
      <w:lvlJc w:val="left"/>
    </w:lvl>
    <w:lvl w:ilvl="1" w:tplc="EB9C5708">
      <w:start w:val="1"/>
      <w:numFmt w:val="bullet"/>
      <w:lvlText w:val=""/>
      <w:lvlJc w:val="left"/>
    </w:lvl>
    <w:lvl w:ilvl="2" w:tplc="26562E52">
      <w:start w:val="1"/>
      <w:numFmt w:val="bullet"/>
      <w:lvlText w:val=""/>
      <w:lvlJc w:val="left"/>
    </w:lvl>
    <w:lvl w:ilvl="3" w:tplc="5BB002A4">
      <w:start w:val="1"/>
      <w:numFmt w:val="bullet"/>
      <w:lvlText w:val=""/>
      <w:lvlJc w:val="left"/>
    </w:lvl>
    <w:lvl w:ilvl="4" w:tplc="A1BE5EE2">
      <w:start w:val="1"/>
      <w:numFmt w:val="bullet"/>
      <w:lvlText w:val=""/>
      <w:lvlJc w:val="left"/>
    </w:lvl>
    <w:lvl w:ilvl="5" w:tplc="7AB86AB4">
      <w:start w:val="1"/>
      <w:numFmt w:val="bullet"/>
      <w:lvlText w:val=""/>
      <w:lvlJc w:val="left"/>
    </w:lvl>
    <w:lvl w:ilvl="6" w:tplc="0B9494BC">
      <w:start w:val="1"/>
      <w:numFmt w:val="bullet"/>
      <w:lvlText w:val=""/>
      <w:lvlJc w:val="left"/>
    </w:lvl>
    <w:lvl w:ilvl="7" w:tplc="92E002EC">
      <w:start w:val="1"/>
      <w:numFmt w:val="bullet"/>
      <w:lvlText w:val=""/>
      <w:lvlJc w:val="left"/>
    </w:lvl>
    <w:lvl w:ilvl="8" w:tplc="5BB0DCC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ED9049D4">
      <w:start w:val="1"/>
      <w:numFmt w:val="bullet"/>
      <w:lvlText w:val="w"/>
      <w:lvlJc w:val="left"/>
    </w:lvl>
    <w:lvl w:ilvl="1" w:tplc="D8B2AB26">
      <w:start w:val="1"/>
      <w:numFmt w:val="bullet"/>
      <w:lvlText w:val="•"/>
      <w:lvlJc w:val="left"/>
    </w:lvl>
    <w:lvl w:ilvl="2" w:tplc="77A6993E">
      <w:start w:val="1"/>
      <w:numFmt w:val="bullet"/>
      <w:lvlText w:val="•"/>
      <w:lvlJc w:val="left"/>
    </w:lvl>
    <w:lvl w:ilvl="3" w:tplc="4822C8E4">
      <w:start w:val="1"/>
      <w:numFmt w:val="bullet"/>
      <w:lvlText w:val=""/>
      <w:lvlJc w:val="left"/>
    </w:lvl>
    <w:lvl w:ilvl="4" w:tplc="780E49CC">
      <w:start w:val="1"/>
      <w:numFmt w:val="bullet"/>
      <w:lvlText w:val=""/>
      <w:lvlJc w:val="left"/>
    </w:lvl>
    <w:lvl w:ilvl="5" w:tplc="8D6E4D48">
      <w:start w:val="1"/>
      <w:numFmt w:val="bullet"/>
      <w:lvlText w:val=""/>
      <w:lvlJc w:val="left"/>
    </w:lvl>
    <w:lvl w:ilvl="6" w:tplc="1D746AEC">
      <w:start w:val="1"/>
      <w:numFmt w:val="bullet"/>
      <w:lvlText w:val=""/>
      <w:lvlJc w:val="left"/>
    </w:lvl>
    <w:lvl w:ilvl="7" w:tplc="5C56E84E">
      <w:start w:val="1"/>
      <w:numFmt w:val="bullet"/>
      <w:lvlText w:val=""/>
      <w:lvlJc w:val="left"/>
    </w:lvl>
    <w:lvl w:ilvl="8" w:tplc="8EB41CEA">
      <w:start w:val="1"/>
      <w:numFmt w:val="bullet"/>
      <w:lvlText w:val=""/>
      <w:lvlJc w:val="left"/>
    </w:lvl>
  </w:abstractNum>
  <w:abstractNum w:abstractNumId="2" w15:restartNumberingAfterBreak="0">
    <w:nsid w:val="04AD18F5"/>
    <w:multiLevelType w:val="hybridMultilevel"/>
    <w:tmpl w:val="B8BEE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01C7A"/>
    <w:multiLevelType w:val="hybridMultilevel"/>
    <w:tmpl w:val="86F2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A0DA2"/>
    <w:multiLevelType w:val="hybridMultilevel"/>
    <w:tmpl w:val="84A2B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41D26"/>
    <w:multiLevelType w:val="hybridMultilevel"/>
    <w:tmpl w:val="239C7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57073"/>
    <w:multiLevelType w:val="hybridMultilevel"/>
    <w:tmpl w:val="C60E9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45363"/>
    <w:multiLevelType w:val="hybridMultilevel"/>
    <w:tmpl w:val="D34A658E"/>
    <w:lvl w:ilvl="0" w:tplc="3B36F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9193E"/>
    <w:multiLevelType w:val="hybridMultilevel"/>
    <w:tmpl w:val="41024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949A5"/>
    <w:multiLevelType w:val="hybridMultilevel"/>
    <w:tmpl w:val="6818FD08"/>
    <w:lvl w:ilvl="0" w:tplc="BC629CF4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DA3593"/>
    <w:multiLevelType w:val="multilevel"/>
    <w:tmpl w:val="FA66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324C76"/>
    <w:multiLevelType w:val="hybridMultilevel"/>
    <w:tmpl w:val="86F2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532BE"/>
    <w:multiLevelType w:val="hybridMultilevel"/>
    <w:tmpl w:val="43CC6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F1597"/>
    <w:multiLevelType w:val="hybridMultilevel"/>
    <w:tmpl w:val="39FAB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2342C"/>
    <w:multiLevelType w:val="hybridMultilevel"/>
    <w:tmpl w:val="86F2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53C39"/>
    <w:multiLevelType w:val="hybridMultilevel"/>
    <w:tmpl w:val="2996E8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D5A592B"/>
    <w:multiLevelType w:val="hybridMultilevel"/>
    <w:tmpl w:val="445CEC06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7" w15:restartNumberingAfterBreak="0">
    <w:nsid w:val="6F0D1342"/>
    <w:multiLevelType w:val="hybridMultilevel"/>
    <w:tmpl w:val="67F69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F53FC"/>
    <w:multiLevelType w:val="hybridMultilevel"/>
    <w:tmpl w:val="D34A658E"/>
    <w:lvl w:ilvl="0" w:tplc="3B36F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10"/>
  </w:num>
  <w:num w:numId="6">
    <w:abstractNumId w:val="15"/>
  </w:num>
  <w:num w:numId="7">
    <w:abstractNumId w:val="14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  <w:num w:numId="12">
    <w:abstractNumId w:val="12"/>
  </w:num>
  <w:num w:numId="13">
    <w:abstractNumId w:val="7"/>
  </w:num>
  <w:num w:numId="14">
    <w:abstractNumId w:val="18"/>
  </w:num>
  <w:num w:numId="15">
    <w:abstractNumId w:val="4"/>
  </w:num>
  <w:num w:numId="16">
    <w:abstractNumId w:val="9"/>
  </w:num>
  <w:num w:numId="17">
    <w:abstractNumId w:val="16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FB"/>
    <w:rsid w:val="00016C1C"/>
    <w:rsid w:val="00031750"/>
    <w:rsid w:val="00031A73"/>
    <w:rsid w:val="000408B0"/>
    <w:rsid w:val="00043BE3"/>
    <w:rsid w:val="00067511"/>
    <w:rsid w:val="00081958"/>
    <w:rsid w:val="0009648C"/>
    <w:rsid w:val="00096FA8"/>
    <w:rsid w:val="000C2D87"/>
    <w:rsid w:val="000C491F"/>
    <w:rsid w:val="000D6644"/>
    <w:rsid w:val="000F5203"/>
    <w:rsid w:val="0011224D"/>
    <w:rsid w:val="001143B7"/>
    <w:rsid w:val="00114564"/>
    <w:rsid w:val="001276EA"/>
    <w:rsid w:val="00134763"/>
    <w:rsid w:val="001407DE"/>
    <w:rsid w:val="001502A7"/>
    <w:rsid w:val="00161AC8"/>
    <w:rsid w:val="00162352"/>
    <w:rsid w:val="00176F6E"/>
    <w:rsid w:val="00186BD6"/>
    <w:rsid w:val="00193C1E"/>
    <w:rsid w:val="001A71AF"/>
    <w:rsid w:val="001A7F33"/>
    <w:rsid w:val="00203045"/>
    <w:rsid w:val="00206874"/>
    <w:rsid w:val="002128E4"/>
    <w:rsid w:val="00215D29"/>
    <w:rsid w:val="0024749A"/>
    <w:rsid w:val="00252663"/>
    <w:rsid w:val="00252C48"/>
    <w:rsid w:val="0025338D"/>
    <w:rsid w:val="002545D4"/>
    <w:rsid w:val="00256716"/>
    <w:rsid w:val="00256B54"/>
    <w:rsid w:val="00256CDE"/>
    <w:rsid w:val="002A0353"/>
    <w:rsid w:val="002A7F95"/>
    <w:rsid w:val="002C4775"/>
    <w:rsid w:val="002D6F2E"/>
    <w:rsid w:val="002E086F"/>
    <w:rsid w:val="002E36AA"/>
    <w:rsid w:val="002E52E3"/>
    <w:rsid w:val="002E7706"/>
    <w:rsid w:val="002F2D92"/>
    <w:rsid w:val="002F4DFF"/>
    <w:rsid w:val="003023B5"/>
    <w:rsid w:val="00330B07"/>
    <w:rsid w:val="00373E14"/>
    <w:rsid w:val="003745B5"/>
    <w:rsid w:val="00376575"/>
    <w:rsid w:val="00383996"/>
    <w:rsid w:val="0038525D"/>
    <w:rsid w:val="00397035"/>
    <w:rsid w:val="003B1E34"/>
    <w:rsid w:val="003D625C"/>
    <w:rsid w:val="003E7812"/>
    <w:rsid w:val="003F2F1C"/>
    <w:rsid w:val="003F6601"/>
    <w:rsid w:val="00423CFF"/>
    <w:rsid w:val="0044259C"/>
    <w:rsid w:val="00444396"/>
    <w:rsid w:val="0044756D"/>
    <w:rsid w:val="00461056"/>
    <w:rsid w:val="00471106"/>
    <w:rsid w:val="004714C1"/>
    <w:rsid w:val="00494BDC"/>
    <w:rsid w:val="004A10C0"/>
    <w:rsid w:val="004A7038"/>
    <w:rsid w:val="004B7C10"/>
    <w:rsid w:val="004C33D4"/>
    <w:rsid w:val="00513420"/>
    <w:rsid w:val="005242D3"/>
    <w:rsid w:val="00527177"/>
    <w:rsid w:val="005316EB"/>
    <w:rsid w:val="00535279"/>
    <w:rsid w:val="0054703D"/>
    <w:rsid w:val="00571EE1"/>
    <w:rsid w:val="00577DE3"/>
    <w:rsid w:val="00580445"/>
    <w:rsid w:val="00585981"/>
    <w:rsid w:val="005A574C"/>
    <w:rsid w:val="005B4556"/>
    <w:rsid w:val="005C3832"/>
    <w:rsid w:val="005D0A2C"/>
    <w:rsid w:val="005D3394"/>
    <w:rsid w:val="005E3816"/>
    <w:rsid w:val="005F2A64"/>
    <w:rsid w:val="005F3342"/>
    <w:rsid w:val="00612F21"/>
    <w:rsid w:val="006145A8"/>
    <w:rsid w:val="006328A0"/>
    <w:rsid w:val="00634844"/>
    <w:rsid w:val="00644D90"/>
    <w:rsid w:val="0066137B"/>
    <w:rsid w:val="006618B9"/>
    <w:rsid w:val="006909C1"/>
    <w:rsid w:val="006A4FA3"/>
    <w:rsid w:val="006A521B"/>
    <w:rsid w:val="006B02C2"/>
    <w:rsid w:val="006D06D5"/>
    <w:rsid w:val="006F5EED"/>
    <w:rsid w:val="00710D78"/>
    <w:rsid w:val="00712D03"/>
    <w:rsid w:val="00713481"/>
    <w:rsid w:val="007319AE"/>
    <w:rsid w:val="0073204A"/>
    <w:rsid w:val="00734BAB"/>
    <w:rsid w:val="00734C72"/>
    <w:rsid w:val="0074322F"/>
    <w:rsid w:val="00767341"/>
    <w:rsid w:val="007701E2"/>
    <w:rsid w:val="007703D7"/>
    <w:rsid w:val="00796F08"/>
    <w:rsid w:val="00797869"/>
    <w:rsid w:val="007C3099"/>
    <w:rsid w:val="007C5D1F"/>
    <w:rsid w:val="007D7BF6"/>
    <w:rsid w:val="007F572B"/>
    <w:rsid w:val="00807CAC"/>
    <w:rsid w:val="00807F06"/>
    <w:rsid w:val="00815751"/>
    <w:rsid w:val="00830DF1"/>
    <w:rsid w:val="00837BED"/>
    <w:rsid w:val="00860F31"/>
    <w:rsid w:val="0086156E"/>
    <w:rsid w:val="00870566"/>
    <w:rsid w:val="0087114C"/>
    <w:rsid w:val="00883A1B"/>
    <w:rsid w:val="008B4AD7"/>
    <w:rsid w:val="008C1FB2"/>
    <w:rsid w:val="008D6D44"/>
    <w:rsid w:val="008E6342"/>
    <w:rsid w:val="008F5CDA"/>
    <w:rsid w:val="008F5FD8"/>
    <w:rsid w:val="0090199A"/>
    <w:rsid w:val="0092569B"/>
    <w:rsid w:val="00932BC2"/>
    <w:rsid w:val="009369AD"/>
    <w:rsid w:val="00944998"/>
    <w:rsid w:val="009465C4"/>
    <w:rsid w:val="0096645F"/>
    <w:rsid w:val="00986B34"/>
    <w:rsid w:val="009B3C70"/>
    <w:rsid w:val="009B6DD8"/>
    <w:rsid w:val="009C4C78"/>
    <w:rsid w:val="009E2AF6"/>
    <w:rsid w:val="009E7485"/>
    <w:rsid w:val="009F3BE7"/>
    <w:rsid w:val="00A03A75"/>
    <w:rsid w:val="00A042FB"/>
    <w:rsid w:val="00A10542"/>
    <w:rsid w:val="00A17066"/>
    <w:rsid w:val="00A22738"/>
    <w:rsid w:val="00A27D75"/>
    <w:rsid w:val="00A37329"/>
    <w:rsid w:val="00A55D34"/>
    <w:rsid w:val="00A70315"/>
    <w:rsid w:val="00A716DD"/>
    <w:rsid w:val="00AE2E6A"/>
    <w:rsid w:val="00AF5B7D"/>
    <w:rsid w:val="00AF7727"/>
    <w:rsid w:val="00B121FB"/>
    <w:rsid w:val="00B14D3B"/>
    <w:rsid w:val="00B34207"/>
    <w:rsid w:val="00B73B11"/>
    <w:rsid w:val="00B742AF"/>
    <w:rsid w:val="00B74EF1"/>
    <w:rsid w:val="00BA48B3"/>
    <w:rsid w:val="00BB2A59"/>
    <w:rsid w:val="00BE356D"/>
    <w:rsid w:val="00BE39BC"/>
    <w:rsid w:val="00BF2161"/>
    <w:rsid w:val="00BF3B9E"/>
    <w:rsid w:val="00C03214"/>
    <w:rsid w:val="00C10BF5"/>
    <w:rsid w:val="00C26C17"/>
    <w:rsid w:val="00C44CF8"/>
    <w:rsid w:val="00C502BD"/>
    <w:rsid w:val="00C51242"/>
    <w:rsid w:val="00C608F2"/>
    <w:rsid w:val="00C64CB8"/>
    <w:rsid w:val="00C8122C"/>
    <w:rsid w:val="00C81758"/>
    <w:rsid w:val="00C86B35"/>
    <w:rsid w:val="00C874E7"/>
    <w:rsid w:val="00C90897"/>
    <w:rsid w:val="00C93A66"/>
    <w:rsid w:val="00CC27F9"/>
    <w:rsid w:val="00CC6822"/>
    <w:rsid w:val="00CF02DB"/>
    <w:rsid w:val="00D14783"/>
    <w:rsid w:val="00D27B62"/>
    <w:rsid w:val="00D33D4F"/>
    <w:rsid w:val="00D516AB"/>
    <w:rsid w:val="00D66F4A"/>
    <w:rsid w:val="00D7270C"/>
    <w:rsid w:val="00D72775"/>
    <w:rsid w:val="00D7300B"/>
    <w:rsid w:val="00D77C7F"/>
    <w:rsid w:val="00D81199"/>
    <w:rsid w:val="00D8245C"/>
    <w:rsid w:val="00D85681"/>
    <w:rsid w:val="00DA275E"/>
    <w:rsid w:val="00DA48BF"/>
    <w:rsid w:val="00DB7F64"/>
    <w:rsid w:val="00DD29A5"/>
    <w:rsid w:val="00DE199B"/>
    <w:rsid w:val="00DF6918"/>
    <w:rsid w:val="00E0454E"/>
    <w:rsid w:val="00E30A6C"/>
    <w:rsid w:val="00E34875"/>
    <w:rsid w:val="00E4105D"/>
    <w:rsid w:val="00E93CD3"/>
    <w:rsid w:val="00E94DBB"/>
    <w:rsid w:val="00EB27CA"/>
    <w:rsid w:val="00EB3ADC"/>
    <w:rsid w:val="00EB3E9C"/>
    <w:rsid w:val="00EC025C"/>
    <w:rsid w:val="00EC2599"/>
    <w:rsid w:val="00EC34D4"/>
    <w:rsid w:val="00ED510C"/>
    <w:rsid w:val="00EE4AFB"/>
    <w:rsid w:val="00EF4688"/>
    <w:rsid w:val="00EF7BB6"/>
    <w:rsid w:val="00F05E20"/>
    <w:rsid w:val="00F12A6E"/>
    <w:rsid w:val="00F545C3"/>
    <w:rsid w:val="00F63A28"/>
    <w:rsid w:val="00F669C3"/>
    <w:rsid w:val="00F66AA6"/>
    <w:rsid w:val="00F7671D"/>
    <w:rsid w:val="00F77964"/>
    <w:rsid w:val="00F92295"/>
    <w:rsid w:val="00F94401"/>
    <w:rsid w:val="00FA0998"/>
    <w:rsid w:val="00FA2F2F"/>
    <w:rsid w:val="00FB3AD8"/>
    <w:rsid w:val="00FD2B8D"/>
    <w:rsid w:val="00F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5D8A5D"/>
  <w15:chartTrackingRefBased/>
  <w15:docId w15:val="{9B14B679-A509-40F4-A4A3-379D02E6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121FB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B121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B121F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408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8B0"/>
  </w:style>
  <w:style w:type="paragraph" w:styleId="Stopka">
    <w:name w:val="footer"/>
    <w:basedOn w:val="Normalny"/>
    <w:link w:val="StopkaZnak"/>
    <w:uiPriority w:val="99"/>
    <w:unhideWhenUsed/>
    <w:rsid w:val="000408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8B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756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756D"/>
  </w:style>
  <w:style w:type="character" w:styleId="Odwoanieprzypisukocowego">
    <w:name w:val="endnote reference"/>
    <w:uiPriority w:val="99"/>
    <w:semiHidden/>
    <w:unhideWhenUsed/>
    <w:rsid w:val="004475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15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4D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D3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32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329"/>
  </w:style>
  <w:style w:type="character" w:styleId="Odwoanieprzypisudolnego">
    <w:name w:val="footnote reference"/>
    <w:basedOn w:val="Domylnaczcionkaakapitu"/>
    <w:uiPriority w:val="99"/>
    <w:semiHidden/>
    <w:unhideWhenUsed/>
    <w:rsid w:val="00A3732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29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9A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9A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9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9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67210-D9D1-4D8F-B2D8-2B556570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2322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Filip Tohl</cp:lastModifiedBy>
  <cp:revision>15</cp:revision>
  <cp:lastPrinted>2021-11-16T16:07:00Z</cp:lastPrinted>
  <dcterms:created xsi:type="dcterms:W3CDTF">2021-12-29T14:31:00Z</dcterms:created>
  <dcterms:modified xsi:type="dcterms:W3CDTF">2022-01-12T15:33:00Z</dcterms:modified>
</cp:coreProperties>
</file>