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045E" w14:textId="77777777" w:rsidR="006909C1" w:rsidRPr="00CC27F9" w:rsidRDefault="001A71AF" w:rsidP="00ED510C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tab/>
      </w:r>
    </w:p>
    <w:p w14:paraId="701DFBBA" w14:textId="7FF53FEF" w:rsidR="00F545C3" w:rsidRPr="00CC27F9" w:rsidRDefault="00CC27F9" w:rsidP="00ED510C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…………………………………, 2022 roku</w:t>
      </w:r>
    </w:p>
    <w:p w14:paraId="5F370E25" w14:textId="77777777" w:rsidR="006909C1" w:rsidRPr="00CC27F9" w:rsidRDefault="006909C1" w:rsidP="00ED510C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</w:p>
    <w:p w14:paraId="1F30A029" w14:textId="77777777" w:rsidR="00470992" w:rsidRDefault="00470992" w:rsidP="00470992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SĄD REJONOWY W ……………….</w:t>
      </w:r>
    </w:p>
    <w:p w14:paraId="277D05A2" w14:textId="62537DA8" w:rsidR="00470992" w:rsidRDefault="00470992" w:rsidP="00470992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WYDZIAŁ </w:t>
      </w:r>
      <w:r w:rsidR="0089421F">
        <w:rPr>
          <w:rFonts w:ascii="Arial" w:eastAsia="Times New Roman" w:hAnsi="Arial"/>
          <w:b/>
          <w:sz w:val="22"/>
          <w:szCs w:val="22"/>
        </w:rPr>
        <w:t>CYWILNY</w:t>
      </w:r>
    </w:p>
    <w:p w14:paraId="024DEF4C" w14:textId="77777777" w:rsidR="00470992" w:rsidRDefault="00470992" w:rsidP="00470992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</w:rPr>
        <w:t>ul. ……………………</w:t>
      </w:r>
    </w:p>
    <w:p w14:paraId="02E1E91D" w14:textId="77777777" w:rsidR="00470992" w:rsidRDefault="00470992" w:rsidP="00470992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</w:rPr>
        <w:t>……………………..</w:t>
      </w:r>
    </w:p>
    <w:p w14:paraId="317CE381" w14:textId="330F1DC6" w:rsidR="00470992" w:rsidRDefault="0089421F" w:rsidP="004A10C0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Cs/>
          <w:sz w:val="22"/>
          <w:szCs w:val="22"/>
        </w:rPr>
      </w:pPr>
      <w:r w:rsidRPr="0089421F">
        <w:rPr>
          <w:rFonts w:ascii="Arial" w:eastAsia="Times New Roman" w:hAnsi="Arial"/>
          <w:bCs/>
          <w:sz w:val="22"/>
          <w:szCs w:val="22"/>
          <w:highlight w:val="yellow"/>
        </w:rPr>
        <w:t>(w II instancji odpowiednio Sąd Okręgowy)</w:t>
      </w:r>
    </w:p>
    <w:p w14:paraId="2C567971" w14:textId="77777777" w:rsidR="0089421F" w:rsidRPr="002B586C" w:rsidRDefault="0089421F" w:rsidP="004A10C0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Cs/>
          <w:sz w:val="22"/>
          <w:szCs w:val="22"/>
        </w:rPr>
      </w:pPr>
    </w:p>
    <w:p w14:paraId="64A34286" w14:textId="60FC2D29" w:rsidR="0089421F" w:rsidRPr="006C313B" w:rsidRDefault="0089421F" w:rsidP="0089421F">
      <w:pPr>
        <w:tabs>
          <w:tab w:val="left" w:pos="1276"/>
        </w:tabs>
        <w:spacing w:line="366" w:lineRule="auto"/>
        <w:ind w:left="1440" w:hanging="1440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>SYGN. AKT:</w:t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  <w:t xml:space="preserve">…………… </w:t>
      </w:r>
    </w:p>
    <w:p w14:paraId="663BF601" w14:textId="6A7D38E2" w:rsidR="0089421F" w:rsidRPr="006C313B" w:rsidRDefault="0089421F" w:rsidP="00894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POWÓD</w:t>
      </w:r>
      <w:r w:rsidRPr="006C313B">
        <w:rPr>
          <w:rFonts w:ascii="Arial" w:eastAsia="Times New Roman" w:hAnsi="Arial"/>
          <w:sz w:val="22"/>
          <w:szCs w:val="22"/>
        </w:rPr>
        <w:t>:</w:t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>……………………..,</w:t>
      </w:r>
      <w:r w:rsidRPr="006C313B">
        <w:rPr>
          <w:rFonts w:ascii="Arial" w:eastAsia="Times New Roman" w:hAnsi="Arial"/>
          <w:sz w:val="22"/>
          <w:szCs w:val="22"/>
        </w:rPr>
        <w:t xml:space="preserve"> adres w aktach</w:t>
      </w:r>
    </w:p>
    <w:p w14:paraId="255970B6" w14:textId="2D03165A" w:rsidR="0089421F" w:rsidRDefault="0089421F" w:rsidP="00894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POZWANY: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  <w:t>…………………….., adres w aktach</w:t>
      </w:r>
      <w:r w:rsidRPr="006C313B">
        <w:rPr>
          <w:rFonts w:ascii="Arial" w:eastAsia="Times New Roman" w:hAnsi="Arial"/>
          <w:sz w:val="22"/>
          <w:szCs w:val="22"/>
        </w:rPr>
        <w:tab/>
      </w:r>
    </w:p>
    <w:p w14:paraId="7345C29E" w14:textId="455D6FC9" w:rsidR="0089421F" w:rsidRPr="006C313B" w:rsidRDefault="0089421F" w:rsidP="00894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  <w:t>reprezentowany przez pełnomocnika – adwokata ……………….</w:t>
      </w:r>
    </w:p>
    <w:p w14:paraId="564812B2" w14:textId="2C964F75" w:rsidR="0089421F" w:rsidRDefault="0089421F" w:rsidP="00894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  <w:t xml:space="preserve">adres do doręczeń: ul. </w:t>
      </w:r>
      <w:r>
        <w:rPr>
          <w:rFonts w:ascii="Arial" w:eastAsia="Times New Roman" w:hAnsi="Arial"/>
          <w:sz w:val="22"/>
          <w:szCs w:val="22"/>
        </w:rPr>
        <w:t>……………………………</w:t>
      </w:r>
    </w:p>
    <w:p w14:paraId="3908B50B" w14:textId="0798E4E7" w:rsidR="0089421F" w:rsidRDefault="0089421F" w:rsidP="00C50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48609E">
        <w:rPr>
          <w:rFonts w:ascii="Arial" w:eastAsia="Times New Roman" w:hAnsi="Arial"/>
          <w:b/>
          <w:bCs/>
          <w:sz w:val="22"/>
          <w:szCs w:val="22"/>
        </w:rPr>
        <w:t>Opłata</w:t>
      </w:r>
      <w:r w:rsidRPr="0089421F">
        <w:rPr>
          <w:rFonts w:ascii="Arial" w:eastAsia="Times New Roman" w:hAnsi="Arial"/>
          <w:sz w:val="22"/>
          <w:szCs w:val="22"/>
        </w:rPr>
        <w:t>:</w:t>
      </w:r>
      <w:r w:rsidRPr="0089421F">
        <w:rPr>
          <w:rFonts w:ascii="Arial" w:eastAsia="Times New Roman" w:hAnsi="Arial"/>
          <w:sz w:val="22"/>
          <w:szCs w:val="22"/>
        </w:rPr>
        <w:tab/>
      </w:r>
      <w:r w:rsidRPr="0089421F">
        <w:rPr>
          <w:rFonts w:ascii="Arial" w:eastAsia="Times New Roman" w:hAnsi="Arial"/>
          <w:sz w:val="22"/>
          <w:szCs w:val="22"/>
        </w:rPr>
        <w:tab/>
      </w:r>
      <w:r w:rsidR="00ED7641">
        <w:rPr>
          <w:rFonts w:ascii="Arial" w:eastAsia="Times New Roman" w:hAnsi="Arial"/>
          <w:sz w:val="22"/>
          <w:szCs w:val="22"/>
        </w:rPr>
        <w:t>zwolnienie od kosztów sądowych/ 30 zł</w:t>
      </w:r>
    </w:p>
    <w:p w14:paraId="748824B2" w14:textId="25F4A61E" w:rsidR="00ED7641" w:rsidRDefault="00ED7641" w:rsidP="00C50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3595A4A4" w14:textId="52C385E0" w:rsidR="00ED7641" w:rsidRPr="00ED7641" w:rsidRDefault="00ED7641" w:rsidP="00C50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ED7641">
        <w:rPr>
          <w:rFonts w:ascii="Arial" w:hAnsi="Arial"/>
          <w:b/>
          <w:bCs/>
          <w:highlight w:val="yellow"/>
        </w:rPr>
        <w:t>UWAGA: pułapka na pełnomocników co do zwolnienia z opłat</w:t>
      </w:r>
      <w:r w:rsidRPr="00ED7641">
        <w:rPr>
          <w:rFonts w:ascii="Arial" w:hAnsi="Arial"/>
          <w:highlight w:val="yellow"/>
        </w:rPr>
        <w:t>y: W doktrynie (F</w:t>
      </w:r>
      <w:r w:rsidRPr="00ED7641">
        <w:rPr>
          <w:rFonts w:ascii="Arial" w:hAnsi="Arial"/>
          <w:color w:val="000000"/>
          <w:highlight w:val="yellow"/>
          <w:shd w:val="clear" w:color="auto" w:fill="FFFFFF"/>
        </w:rPr>
        <w:t xml:space="preserve">eliga Przemysław (red.), Ustawa o kosztach sądowych w sprawach cywilnych. Komentarz, wyd. III) wskazuje się, że </w:t>
      </w:r>
      <w:r w:rsidRPr="00ED7641">
        <w:rPr>
          <w:rFonts w:ascii="Arial" w:hAnsi="Arial"/>
          <w:highlight w:val="yellow"/>
          <w:shd w:val="clear" w:color="auto" w:fill="FFFFFF"/>
        </w:rPr>
        <w:t>artykuł 95 ust. 2 pkt 2</w:t>
      </w:r>
      <w:r w:rsidRPr="00ED7641">
        <w:rPr>
          <w:rFonts w:ascii="Arial" w:hAnsi="Arial"/>
          <w:color w:val="333333"/>
          <w:highlight w:val="yellow"/>
          <w:shd w:val="clear" w:color="auto" w:fill="FFFFFF"/>
        </w:rPr>
        <w:t xml:space="preserve"> u.k.s.c. </w:t>
      </w:r>
      <w:r w:rsidR="00EA1B58">
        <w:rPr>
          <w:rFonts w:ascii="Arial" w:hAnsi="Arial"/>
          <w:color w:val="333333"/>
          <w:highlight w:val="yellow"/>
          <w:shd w:val="clear" w:color="auto" w:fill="FFFFFF"/>
        </w:rPr>
        <w:t>stanowiący niekiedy podstawę braku opłaty do zażalenia</w:t>
      </w:r>
      <w:r w:rsidR="0048609E">
        <w:rPr>
          <w:rFonts w:ascii="Arial" w:hAnsi="Arial"/>
          <w:color w:val="333333"/>
          <w:highlight w:val="yellow"/>
          <w:shd w:val="clear" w:color="auto" w:fill="FFFFFF"/>
        </w:rPr>
        <w:t xml:space="preserve"> na koszty </w:t>
      </w:r>
      <w:r w:rsidR="00423ED3">
        <w:rPr>
          <w:rFonts w:ascii="Arial" w:hAnsi="Arial"/>
          <w:color w:val="333333"/>
          <w:highlight w:val="yellow"/>
          <w:shd w:val="clear" w:color="auto" w:fill="FFFFFF"/>
        </w:rPr>
        <w:br/>
      </w:r>
      <w:r w:rsidR="0048609E">
        <w:rPr>
          <w:rFonts w:ascii="Arial" w:hAnsi="Arial"/>
          <w:color w:val="333333"/>
          <w:highlight w:val="yellow"/>
          <w:shd w:val="clear" w:color="auto" w:fill="FFFFFF"/>
        </w:rPr>
        <w:t>z urzędu</w:t>
      </w:r>
      <w:r w:rsidR="00EA1B58">
        <w:rPr>
          <w:rFonts w:ascii="Arial" w:hAnsi="Arial"/>
          <w:color w:val="333333"/>
          <w:highlight w:val="yellow"/>
          <w:shd w:val="clear" w:color="auto" w:fill="FFFFFF"/>
        </w:rPr>
        <w:t xml:space="preserve"> </w:t>
      </w:r>
      <w:r w:rsidRPr="00ED7641">
        <w:rPr>
          <w:rFonts w:ascii="Arial" w:hAnsi="Arial"/>
          <w:color w:val="333333"/>
          <w:highlight w:val="yellow"/>
          <w:shd w:val="clear" w:color="auto" w:fill="FFFFFF"/>
        </w:rPr>
        <w:t>ma zastosowanie wyłącznie do zażaleń na postanowienie sądu dotyczące wysokości opłat lub wydatków, które zostały wniesione i nierozpoznane sprzed 7.11.2019 r. (zob. art. 9 ust. 4 nowelizacji z 4.07.2019 r.).</w:t>
      </w:r>
    </w:p>
    <w:p w14:paraId="399CDB57" w14:textId="3BD5AFCA" w:rsidR="00ED510C" w:rsidRPr="00CC27F9" w:rsidRDefault="00ED510C" w:rsidP="00043BE3">
      <w:pPr>
        <w:tabs>
          <w:tab w:val="left" w:pos="2410"/>
        </w:tabs>
        <w:spacing w:line="362" w:lineRule="auto"/>
        <w:ind w:left="720" w:hanging="720"/>
        <w:jc w:val="both"/>
        <w:rPr>
          <w:rFonts w:ascii="Arial" w:eastAsia="Times New Roman" w:hAnsi="Arial"/>
          <w:sz w:val="22"/>
          <w:szCs w:val="22"/>
        </w:rPr>
      </w:pPr>
    </w:p>
    <w:p w14:paraId="39803765" w14:textId="1E1BAC35" w:rsidR="002128E4" w:rsidRPr="00CC27F9" w:rsidRDefault="00252663" w:rsidP="00ED510C">
      <w:pPr>
        <w:tabs>
          <w:tab w:val="left" w:pos="4536"/>
        </w:tabs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>ZAŻALENIE</w:t>
      </w:r>
    </w:p>
    <w:p w14:paraId="06BBB48C" w14:textId="12C62C26" w:rsidR="00252663" w:rsidRPr="00CC27F9" w:rsidRDefault="00252663" w:rsidP="00ED510C">
      <w:pPr>
        <w:tabs>
          <w:tab w:val="left" w:pos="4536"/>
        </w:tabs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 xml:space="preserve">na postanowienie </w:t>
      </w:r>
      <w:r w:rsidR="0089421F">
        <w:rPr>
          <w:rFonts w:ascii="Arial" w:eastAsia="Times New Roman" w:hAnsi="Arial"/>
          <w:b/>
          <w:sz w:val="22"/>
          <w:szCs w:val="22"/>
        </w:rPr>
        <w:t xml:space="preserve">Sądu </w:t>
      </w:r>
      <w:r w:rsidRPr="00CC27F9">
        <w:rPr>
          <w:rFonts w:ascii="Arial" w:eastAsia="Times New Roman" w:hAnsi="Arial"/>
          <w:b/>
          <w:sz w:val="22"/>
          <w:szCs w:val="22"/>
        </w:rPr>
        <w:t>w przedmiocie zwrotu</w:t>
      </w:r>
      <w:r w:rsidR="0089421F">
        <w:rPr>
          <w:rFonts w:ascii="Arial" w:eastAsia="Times New Roman" w:hAnsi="Arial"/>
          <w:b/>
          <w:sz w:val="22"/>
          <w:szCs w:val="22"/>
        </w:rPr>
        <w:br/>
      </w:r>
      <w:r w:rsidRPr="00CC27F9">
        <w:rPr>
          <w:rFonts w:ascii="Arial" w:eastAsia="Times New Roman" w:hAnsi="Arial"/>
          <w:b/>
          <w:sz w:val="22"/>
          <w:szCs w:val="22"/>
        </w:rPr>
        <w:t xml:space="preserve"> kosztów nieopłaconej pomocy prawnej</w:t>
      </w:r>
    </w:p>
    <w:p w14:paraId="663772DD" w14:textId="783E8018" w:rsidR="00B34207" w:rsidRPr="00CC27F9" w:rsidRDefault="00B34207" w:rsidP="00ED510C">
      <w:pPr>
        <w:tabs>
          <w:tab w:val="left" w:pos="4536"/>
        </w:tabs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</w:p>
    <w:p w14:paraId="0F179375" w14:textId="2532251E" w:rsidR="0089421F" w:rsidRPr="00EA1B58" w:rsidRDefault="00B34207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7C3099">
        <w:rPr>
          <w:rFonts w:ascii="Arial" w:eastAsia="Times New Roman" w:hAnsi="Arial"/>
          <w:sz w:val="22"/>
          <w:szCs w:val="22"/>
        </w:rPr>
        <w:t>Działając</w:t>
      </w:r>
      <w:r w:rsidR="00644D90" w:rsidRPr="007C3099">
        <w:rPr>
          <w:rFonts w:ascii="Arial" w:eastAsia="Times New Roman" w:hAnsi="Arial"/>
          <w:sz w:val="22"/>
          <w:szCs w:val="22"/>
        </w:rPr>
        <w:t xml:space="preserve"> </w:t>
      </w:r>
      <w:r w:rsidR="00883A1B" w:rsidRPr="007C3099">
        <w:rPr>
          <w:rFonts w:ascii="Arial" w:eastAsia="Times New Roman" w:hAnsi="Arial"/>
          <w:b/>
          <w:bCs/>
          <w:sz w:val="22"/>
          <w:szCs w:val="22"/>
        </w:rPr>
        <w:t>we własnym imieniu</w:t>
      </w:r>
      <w:r w:rsidR="00883A1B" w:rsidRPr="007C3099">
        <w:rPr>
          <w:rFonts w:ascii="Arial" w:eastAsia="Times New Roman" w:hAnsi="Arial"/>
          <w:sz w:val="22"/>
          <w:szCs w:val="22"/>
        </w:rPr>
        <w:t>,</w:t>
      </w:r>
      <w:r w:rsidR="0089421F">
        <w:rPr>
          <w:rFonts w:ascii="Arial" w:eastAsia="Times New Roman" w:hAnsi="Arial"/>
          <w:sz w:val="22"/>
          <w:szCs w:val="22"/>
        </w:rPr>
        <w:t xml:space="preserve"> jako pełnomocnik z urzędu dla pozwanego …………………, na podstawie art. </w:t>
      </w:r>
      <w:r w:rsidR="00EA1B58">
        <w:rPr>
          <w:rFonts w:ascii="Arial" w:eastAsia="Times New Roman" w:hAnsi="Arial"/>
          <w:sz w:val="22"/>
          <w:szCs w:val="22"/>
        </w:rPr>
        <w:t xml:space="preserve">394(1a) par. 1 pkt. 9 KPC </w:t>
      </w:r>
      <w:r w:rsidR="00EA1B58" w:rsidRPr="00EA1B58">
        <w:rPr>
          <w:rFonts w:ascii="Arial" w:eastAsia="Times New Roman" w:hAnsi="Arial"/>
          <w:sz w:val="22"/>
          <w:szCs w:val="22"/>
          <w:highlight w:val="yellow"/>
        </w:rPr>
        <w:t>(w II instancji art. 394 (2) par. 1(1) pkt. 4)</w:t>
      </w:r>
      <w:r w:rsidR="00EA1B58" w:rsidRPr="00EA1B58">
        <w:rPr>
          <w:rFonts w:ascii="Arial" w:eastAsia="Times New Roman" w:hAnsi="Arial"/>
          <w:sz w:val="22"/>
          <w:szCs w:val="22"/>
        </w:rPr>
        <w:t xml:space="preserve"> </w:t>
      </w:r>
      <w:r w:rsidR="00EA1B58">
        <w:rPr>
          <w:rFonts w:ascii="Arial" w:eastAsia="Times New Roman" w:hAnsi="Arial"/>
          <w:b/>
          <w:bCs/>
          <w:sz w:val="22"/>
          <w:szCs w:val="22"/>
        </w:rPr>
        <w:t xml:space="preserve">zaskarżam w części </w:t>
      </w:r>
      <w:r w:rsidR="00EA1B58">
        <w:rPr>
          <w:rFonts w:ascii="Arial" w:eastAsia="Times New Roman" w:hAnsi="Arial"/>
          <w:sz w:val="22"/>
          <w:szCs w:val="22"/>
        </w:rPr>
        <w:t xml:space="preserve">tj. co do kwoty ………. </w:t>
      </w:r>
      <w:r w:rsidR="00EA1B58" w:rsidRPr="007C3099">
        <w:rPr>
          <w:rFonts w:ascii="Arial" w:eastAsia="Times New Roman" w:hAnsi="Arial"/>
          <w:sz w:val="22"/>
          <w:szCs w:val="22"/>
        </w:rPr>
        <w:t>postanowienie zawarte w</w:t>
      </w:r>
      <w:r w:rsidR="00EA1B58">
        <w:rPr>
          <w:rFonts w:ascii="Arial" w:eastAsia="Times New Roman" w:hAnsi="Arial"/>
          <w:sz w:val="22"/>
          <w:szCs w:val="22"/>
        </w:rPr>
        <w:t xml:space="preserve"> pkt. ……</w:t>
      </w:r>
      <w:r w:rsidR="00EA1B58" w:rsidRPr="007C3099">
        <w:rPr>
          <w:rFonts w:ascii="Arial" w:eastAsia="Times New Roman" w:hAnsi="Arial"/>
          <w:sz w:val="22"/>
          <w:szCs w:val="22"/>
        </w:rPr>
        <w:t xml:space="preserve"> wyroku </w:t>
      </w:r>
      <w:r w:rsidR="00EA1B58">
        <w:rPr>
          <w:rFonts w:ascii="Arial" w:eastAsia="Times New Roman" w:hAnsi="Arial"/>
          <w:sz w:val="22"/>
          <w:szCs w:val="22"/>
        </w:rPr>
        <w:t>Sądu Rejonowego …………….</w:t>
      </w:r>
      <w:r w:rsidR="00EA1B58" w:rsidRPr="007C3099">
        <w:rPr>
          <w:rFonts w:ascii="Arial" w:eastAsia="Times New Roman" w:hAnsi="Arial"/>
          <w:sz w:val="22"/>
          <w:szCs w:val="22"/>
        </w:rPr>
        <w:t xml:space="preserve"> z dnia …………… w przedmiocie przyznania </w:t>
      </w:r>
      <w:r w:rsidR="00EA1B58">
        <w:rPr>
          <w:rFonts w:ascii="Arial" w:eastAsia="Times New Roman" w:hAnsi="Arial"/>
          <w:sz w:val="22"/>
          <w:szCs w:val="22"/>
        </w:rPr>
        <w:t xml:space="preserve">mi </w:t>
      </w:r>
      <w:r w:rsidR="00EA1B58" w:rsidRPr="007C3099">
        <w:rPr>
          <w:rFonts w:ascii="Arial" w:eastAsia="Times New Roman" w:hAnsi="Arial"/>
          <w:sz w:val="22"/>
          <w:szCs w:val="22"/>
        </w:rPr>
        <w:t xml:space="preserve">kwoty </w:t>
      </w:r>
      <w:r w:rsidR="00EA1B58">
        <w:rPr>
          <w:rFonts w:ascii="Arial" w:eastAsia="Times New Roman" w:hAnsi="Arial"/>
          <w:sz w:val="22"/>
          <w:szCs w:val="22"/>
        </w:rPr>
        <w:t>………</w:t>
      </w:r>
      <w:r w:rsidR="00EA1B58" w:rsidRPr="007C3099">
        <w:rPr>
          <w:rFonts w:ascii="Arial" w:eastAsia="Times New Roman" w:hAnsi="Arial"/>
          <w:sz w:val="22"/>
          <w:szCs w:val="22"/>
        </w:rPr>
        <w:t xml:space="preserve"> + VAT (</w:t>
      </w:r>
      <w:r w:rsidR="00EA1B58">
        <w:rPr>
          <w:rFonts w:ascii="Arial" w:eastAsia="Times New Roman" w:hAnsi="Arial"/>
          <w:sz w:val="22"/>
          <w:szCs w:val="22"/>
        </w:rPr>
        <w:t>…………..</w:t>
      </w:r>
      <w:r w:rsidR="00EA1B58" w:rsidRPr="007C3099">
        <w:rPr>
          <w:rFonts w:ascii="Arial" w:eastAsia="Times New Roman" w:hAnsi="Arial"/>
          <w:sz w:val="22"/>
          <w:szCs w:val="22"/>
        </w:rPr>
        <w:t xml:space="preserve"> zł) tytułem wynagrodzenia za pomoc prawną udzieloną </w:t>
      </w:r>
      <w:r w:rsidR="00EA1B58">
        <w:rPr>
          <w:rFonts w:ascii="Arial" w:eastAsia="Times New Roman" w:hAnsi="Arial"/>
          <w:sz w:val="22"/>
          <w:szCs w:val="22"/>
        </w:rPr>
        <w:t xml:space="preserve">pozwanemu </w:t>
      </w:r>
      <w:r w:rsidR="00EA1B58" w:rsidRPr="007C3099">
        <w:rPr>
          <w:rFonts w:ascii="Arial" w:eastAsia="Times New Roman" w:hAnsi="Arial"/>
          <w:sz w:val="22"/>
          <w:szCs w:val="22"/>
        </w:rPr>
        <w:t>z urzędu</w:t>
      </w:r>
      <w:r w:rsidR="00EA1B58">
        <w:rPr>
          <w:rFonts w:ascii="Arial" w:eastAsia="Times New Roman" w:hAnsi="Arial"/>
          <w:sz w:val="22"/>
          <w:szCs w:val="22"/>
        </w:rPr>
        <w:t xml:space="preserve"> w postępowaniu przed ……………….</w:t>
      </w:r>
    </w:p>
    <w:p w14:paraId="5FA5EC9B" w14:textId="77777777" w:rsidR="0089421F" w:rsidRDefault="0089421F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748AB9E3" w14:textId="7629F46B" w:rsidR="002B586C" w:rsidRDefault="00CC27F9" w:rsidP="007C3099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7C3099">
        <w:rPr>
          <w:rFonts w:ascii="Arial" w:eastAsia="Times New Roman" w:hAnsi="Arial"/>
          <w:sz w:val="22"/>
          <w:szCs w:val="22"/>
        </w:rPr>
        <w:t xml:space="preserve">Wskazuję, że wyrok </w:t>
      </w:r>
      <w:r w:rsidR="00EA1B58">
        <w:rPr>
          <w:rFonts w:ascii="Arial" w:eastAsia="Times New Roman" w:hAnsi="Arial"/>
          <w:sz w:val="22"/>
          <w:szCs w:val="22"/>
        </w:rPr>
        <w:t>zawierający zaskarż</w:t>
      </w:r>
      <w:r w:rsidR="0048609E">
        <w:rPr>
          <w:rFonts w:ascii="Arial" w:eastAsia="Times New Roman" w:hAnsi="Arial"/>
          <w:sz w:val="22"/>
          <w:szCs w:val="22"/>
        </w:rPr>
        <w:t>o</w:t>
      </w:r>
      <w:r w:rsidR="00EA1B58">
        <w:rPr>
          <w:rFonts w:ascii="Arial" w:eastAsia="Times New Roman" w:hAnsi="Arial"/>
          <w:sz w:val="22"/>
          <w:szCs w:val="22"/>
        </w:rPr>
        <w:t xml:space="preserve">ne postanowienie </w:t>
      </w:r>
      <w:r w:rsidRPr="007C3099">
        <w:rPr>
          <w:rFonts w:ascii="Arial" w:eastAsia="Times New Roman" w:hAnsi="Arial"/>
          <w:sz w:val="22"/>
          <w:szCs w:val="22"/>
        </w:rPr>
        <w:t xml:space="preserve">został mi doręczony wraz </w:t>
      </w:r>
      <w:r w:rsidR="00EA1B58">
        <w:rPr>
          <w:rFonts w:ascii="Arial" w:eastAsia="Times New Roman" w:hAnsi="Arial"/>
          <w:sz w:val="22"/>
          <w:szCs w:val="22"/>
        </w:rPr>
        <w:br/>
      </w:r>
      <w:r w:rsidRPr="007C3099">
        <w:rPr>
          <w:rFonts w:ascii="Arial" w:eastAsia="Times New Roman" w:hAnsi="Arial"/>
          <w:sz w:val="22"/>
          <w:szCs w:val="22"/>
        </w:rPr>
        <w:t>z uzasadnieniem w dniu ……………</w:t>
      </w:r>
      <w:r w:rsidR="007C3099" w:rsidRPr="007C3099">
        <w:rPr>
          <w:rFonts w:ascii="Arial" w:eastAsia="Times New Roman" w:hAnsi="Arial"/>
          <w:sz w:val="22"/>
          <w:szCs w:val="22"/>
        </w:rPr>
        <w:t xml:space="preserve"> </w:t>
      </w:r>
    </w:p>
    <w:p w14:paraId="36F11F5F" w14:textId="6BC6DD6A" w:rsidR="00CC27F9" w:rsidRDefault="00CC27F9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4729274A" w14:textId="77777777" w:rsidR="00D2070D" w:rsidRPr="00CC27F9" w:rsidRDefault="00D2070D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0A872F29" w14:textId="0EAA6406" w:rsidR="00252663" w:rsidRPr="00215D29" w:rsidRDefault="00252663" w:rsidP="00215D29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lastRenderedPageBreak/>
        <w:t>Zaskarżonemu postanowieniu</w:t>
      </w:r>
      <w:r w:rsidR="00215D29">
        <w:rPr>
          <w:rFonts w:ascii="Arial" w:eastAsia="Times New Roman" w:hAnsi="Arial"/>
          <w:sz w:val="22"/>
          <w:szCs w:val="22"/>
        </w:rPr>
        <w:t xml:space="preserve"> </w:t>
      </w:r>
      <w:r w:rsidRPr="00215D29">
        <w:rPr>
          <w:rFonts w:ascii="Arial" w:eastAsia="Times New Roman" w:hAnsi="Arial"/>
          <w:sz w:val="22"/>
          <w:szCs w:val="22"/>
        </w:rPr>
        <w:t>zarzucam</w:t>
      </w:r>
      <w:r w:rsidR="00215D29">
        <w:rPr>
          <w:rFonts w:ascii="Arial" w:eastAsia="Times New Roman" w:hAnsi="Arial"/>
          <w:sz w:val="22"/>
          <w:szCs w:val="22"/>
        </w:rPr>
        <w:t xml:space="preserve"> </w:t>
      </w:r>
      <w:r w:rsidR="0048609E" w:rsidRPr="00EF67BE">
        <w:rPr>
          <w:rFonts w:ascii="Arial" w:eastAsia="Times New Roman" w:hAnsi="Arial"/>
          <w:b/>
          <w:bCs/>
          <w:sz w:val="22"/>
          <w:szCs w:val="22"/>
        </w:rPr>
        <w:t>naruszenie</w:t>
      </w:r>
      <w:r w:rsidRPr="00EF67BE">
        <w:rPr>
          <w:rFonts w:ascii="Arial" w:eastAsia="Times New Roman" w:hAnsi="Arial"/>
          <w:b/>
          <w:bCs/>
          <w:sz w:val="22"/>
          <w:szCs w:val="22"/>
        </w:rPr>
        <w:t xml:space="preserve"> przepisów </w:t>
      </w:r>
      <w:r w:rsidR="00E257BD">
        <w:rPr>
          <w:rFonts w:ascii="Arial" w:eastAsia="Times New Roman" w:hAnsi="Arial"/>
          <w:b/>
          <w:bCs/>
          <w:sz w:val="22"/>
          <w:szCs w:val="22"/>
        </w:rPr>
        <w:t>postępowania</w:t>
      </w:r>
      <w:r w:rsidR="00EF67BE">
        <w:rPr>
          <w:rFonts w:ascii="Arial" w:eastAsia="Times New Roman" w:hAnsi="Arial"/>
          <w:sz w:val="22"/>
          <w:szCs w:val="22"/>
        </w:rPr>
        <w:t xml:space="preserve">, </w:t>
      </w:r>
      <w:r w:rsidR="0073166C">
        <w:rPr>
          <w:rFonts w:ascii="Arial" w:eastAsia="Times New Roman" w:hAnsi="Arial"/>
          <w:sz w:val="22"/>
          <w:szCs w:val="22"/>
        </w:rPr>
        <w:br/>
      </w:r>
      <w:r w:rsidR="003E16A6">
        <w:rPr>
          <w:rFonts w:ascii="Arial" w:eastAsia="Times New Roman" w:hAnsi="Arial"/>
          <w:sz w:val="22"/>
          <w:szCs w:val="22"/>
        </w:rPr>
        <w:t>mającą wpływ na treść orzeczenia</w:t>
      </w:r>
      <w:r w:rsidR="00215D29" w:rsidRPr="00215D29">
        <w:rPr>
          <w:rFonts w:ascii="Arial" w:eastAsia="Times New Roman" w:hAnsi="Arial"/>
          <w:sz w:val="22"/>
          <w:szCs w:val="22"/>
        </w:rPr>
        <w:t>,</w:t>
      </w:r>
      <w:r w:rsidR="00215D29">
        <w:rPr>
          <w:rFonts w:ascii="Arial" w:eastAsia="Times New Roman" w:hAnsi="Arial"/>
          <w:sz w:val="22"/>
          <w:szCs w:val="22"/>
        </w:rPr>
        <w:t xml:space="preserve"> a to:</w:t>
      </w:r>
    </w:p>
    <w:p w14:paraId="751E1676" w14:textId="63AD576E" w:rsidR="00252663" w:rsidRPr="00470992" w:rsidRDefault="00252663" w:rsidP="00470992">
      <w:pPr>
        <w:pStyle w:val="Akapitzlist"/>
        <w:numPr>
          <w:ilvl w:val="0"/>
          <w:numId w:val="16"/>
        </w:num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215D29">
        <w:rPr>
          <w:rFonts w:ascii="Arial" w:eastAsia="Times New Roman" w:hAnsi="Arial"/>
          <w:b/>
          <w:bCs/>
          <w:sz w:val="22"/>
          <w:szCs w:val="22"/>
        </w:rPr>
        <w:t>§ 2 pkt 1</w:t>
      </w:r>
      <w:r w:rsidR="007C3099" w:rsidRPr="00215D29">
        <w:rPr>
          <w:rFonts w:ascii="Arial" w:eastAsia="Times New Roman" w:hAnsi="Arial"/>
          <w:b/>
          <w:bCs/>
          <w:sz w:val="22"/>
          <w:szCs w:val="22"/>
        </w:rPr>
        <w:t xml:space="preserve"> w zw. z</w:t>
      </w:r>
      <w:r w:rsidRPr="00215D29">
        <w:rPr>
          <w:rFonts w:ascii="Arial" w:eastAsia="Times New Roman" w:hAnsi="Arial"/>
          <w:b/>
          <w:bCs/>
          <w:sz w:val="22"/>
          <w:szCs w:val="22"/>
        </w:rPr>
        <w:t xml:space="preserve"> §4 ust. 1 i 3 </w:t>
      </w:r>
      <w:r w:rsidR="00477816">
        <w:rPr>
          <w:rFonts w:ascii="Arial" w:eastAsia="Times New Roman" w:hAnsi="Arial"/>
          <w:b/>
          <w:bCs/>
          <w:sz w:val="22"/>
          <w:szCs w:val="22"/>
        </w:rPr>
        <w:t>w zw.</w:t>
      </w:r>
      <w:r w:rsidRPr="00215D29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48609E">
        <w:rPr>
          <w:rFonts w:ascii="Arial" w:hAnsi="Arial"/>
          <w:b/>
          <w:iCs/>
          <w:sz w:val="22"/>
          <w:szCs w:val="22"/>
        </w:rPr>
        <w:t>………………………</w:t>
      </w:r>
      <w:r w:rsidR="00470992" w:rsidRPr="00470992">
        <w:rPr>
          <w:rFonts w:ascii="Arial" w:hAnsi="Arial"/>
          <w:b/>
          <w:iCs/>
          <w:sz w:val="22"/>
          <w:szCs w:val="22"/>
        </w:rPr>
        <w:t xml:space="preserve"> </w:t>
      </w:r>
      <w:r w:rsidRPr="00470992">
        <w:rPr>
          <w:rFonts w:ascii="Arial" w:eastAsia="Times New Roman" w:hAnsi="Arial"/>
          <w:b/>
          <w:bCs/>
          <w:sz w:val="22"/>
          <w:szCs w:val="22"/>
        </w:rPr>
        <w:t>rozporządzenia Ministra Sprawiedliwości z dnia 3 października 2016 roku w sprawie ponoszenia przez Skarb Państwa kosztów nieopłaconej pomocy prawnej udzielonej przez adwokata z urzędu</w:t>
      </w:r>
      <w:r w:rsidRPr="00470992">
        <w:rPr>
          <w:rFonts w:ascii="Arial" w:eastAsia="Times New Roman" w:hAnsi="Arial"/>
          <w:sz w:val="22"/>
          <w:szCs w:val="22"/>
        </w:rPr>
        <w:t xml:space="preserve"> poprzez ich zastosowanie do ustalenia wysokości opłaty, podczas gdy </w:t>
      </w:r>
      <w:r w:rsidR="00031750" w:rsidRPr="00470992">
        <w:rPr>
          <w:rFonts w:ascii="Arial" w:eastAsia="Times New Roman" w:hAnsi="Arial"/>
          <w:sz w:val="22"/>
          <w:szCs w:val="22"/>
        </w:rPr>
        <w:t xml:space="preserve">stawki określone w niniejszym rozporządzeniu w sposób niedopuszczalny różnicują wynagrodzenia adwokata ze względu na przymiot jego ustanowienia – z urzędu albo z wyboru – co zostało uznane przez Trybunał Konstytucyjny w wyroku z dnia 23 kwietnia 2020 roku (sygn. akt. SK 66/19) za niezgodne z art. 64 ust. 2 w zw. z art. 31 ust. 3, 32 ust. 1 zdanie drugie i art. 92 ust. 1 zdanie pierwsze Konstytucji RP oraz powoduje – w zakresie ustalenia wysokości opłaty – konieczność zastosowania </w:t>
      </w:r>
      <w:r w:rsidR="00477816" w:rsidRPr="00CC27F9">
        <w:rPr>
          <w:rFonts w:ascii="Arial" w:hAnsi="Arial"/>
          <w:b/>
          <w:iCs/>
          <w:sz w:val="22"/>
          <w:szCs w:val="22"/>
        </w:rPr>
        <w:t>§</w:t>
      </w:r>
      <w:r w:rsidR="00477816">
        <w:rPr>
          <w:rFonts w:ascii="Arial" w:hAnsi="Arial"/>
          <w:b/>
          <w:iCs/>
          <w:sz w:val="22"/>
          <w:szCs w:val="22"/>
        </w:rPr>
        <w:t xml:space="preserve"> </w:t>
      </w:r>
      <w:r w:rsidR="0048609E">
        <w:rPr>
          <w:rFonts w:ascii="Arial" w:hAnsi="Arial"/>
          <w:b/>
          <w:iCs/>
          <w:sz w:val="22"/>
          <w:szCs w:val="22"/>
        </w:rPr>
        <w:t>………………..</w:t>
      </w:r>
      <w:r w:rsidR="00477816">
        <w:rPr>
          <w:rFonts w:ascii="Arial" w:hAnsi="Arial"/>
          <w:b/>
          <w:iCs/>
          <w:sz w:val="22"/>
          <w:szCs w:val="22"/>
        </w:rPr>
        <w:t xml:space="preserve"> </w:t>
      </w:r>
      <w:r w:rsidR="00031750" w:rsidRPr="00470992">
        <w:rPr>
          <w:rFonts w:ascii="Arial" w:eastAsia="Times New Roman" w:hAnsi="Arial"/>
          <w:sz w:val="22"/>
          <w:szCs w:val="22"/>
        </w:rPr>
        <w:t xml:space="preserve">rozporządzenia Ministra Sprawiedliwości z dnia 22 października 2015 roku w sprawie opłat za czynności adwokackie, które to stawki </w:t>
      </w:r>
      <w:r w:rsidR="00031750" w:rsidRPr="00477816">
        <w:rPr>
          <w:rFonts w:ascii="Arial" w:eastAsia="Times New Roman" w:hAnsi="Arial"/>
          <w:sz w:val="22"/>
          <w:szCs w:val="22"/>
        </w:rPr>
        <w:t>stanowią stawki minimalne</w:t>
      </w:r>
      <w:r w:rsidR="00A37329" w:rsidRPr="00477816">
        <w:rPr>
          <w:rFonts w:ascii="Arial" w:eastAsia="Times New Roman" w:hAnsi="Arial"/>
          <w:sz w:val="22"/>
          <w:szCs w:val="22"/>
        </w:rPr>
        <w:t>;</w:t>
      </w:r>
    </w:p>
    <w:p w14:paraId="4381B7C0" w14:textId="2D54150C" w:rsidR="00031750" w:rsidRPr="00CC27F9" w:rsidRDefault="00031750" w:rsidP="00252663">
      <w:pPr>
        <w:pStyle w:val="Akapitzlist"/>
        <w:numPr>
          <w:ilvl w:val="0"/>
          <w:numId w:val="16"/>
        </w:num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hAnsi="Arial"/>
          <w:b/>
          <w:iCs/>
          <w:sz w:val="22"/>
          <w:szCs w:val="22"/>
        </w:rPr>
        <w:t>§</w:t>
      </w:r>
      <w:r w:rsidR="008F5FD8">
        <w:rPr>
          <w:rFonts w:ascii="Arial" w:hAnsi="Arial"/>
          <w:b/>
          <w:iCs/>
          <w:sz w:val="22"/>
          <w:szCs w:val="22"/>
        </w:rPr>
        <w:t xml:space="preserve"> </w:t>
      </w:r>
      <w:r w:rsidR="0048609E">
        <w:rPr>
          <w:rFonts w:ascii="Arial" w:hAnsi="Arial"/>
          <w:b/>
          <w:iCs/>
          <w:sz w:val="22"/>
          <w:szCs w:val="22"/>
        </w:rPr>
        <w:t>…………………..</w:t>
      </w:r>
      <w:r w:rsidR="00470992">
        <w:rPr>
          <w:rFonts w:ascii="Arial" w:hAnsi="Arial"/>
          <w:b/>
          <w:iCs/>
          <w:sz w:val="22"/>
          <w:szCs w:val="22"/>
        </w:rPr>
        <w:t xml:space="preserve"> </w:t>
      </w:r>
      <w:r w:rsidRPr="00CC27F9">
        <w:rPr>
          <w:rFonts w:ascii="Arial" w:eastAsia="Times New Roman" w:hAnsi="Arial"/>
          <w:b/>
          <w:sz w:val="22"/>
          <w:szCs w:val="22"/>
        </w:rPr>
        <w:t>rozporządzenia Ministra Sprawiedliwości z dnia 22 października 2015 roku w sprawie opłat za czynności adwokackie w zw. z art. 8 ust. 2 Konstytucji Rzeczypospolitej Polskiej</w:t>
      </w:r>
      <w:r w:rsidRPr="00CC27F9">
        <w:rPr>
          <w:rFonts w:ascii="Arial" w:eastAsia="Times New Roman" w:hAnsi="Arial"/>
          <w:sz w:val="22"/>
          <w:szCs w:val="22"/>
        </w:rPr>
        <w:t xml:space="preserve"> poprzez ich niezastosowanie do ustalenia wysokości opłaty, podczas gdy wobec uznania przez Trybunał Konstytucyjny niekonstytucyjności różnicowania wynagrodzenia adwokata ze względu na przymiot jego ustanowienia – z urzędu albo z wyboru – Sąd winien był w zakresie ustalenia wysokości opłaty – odmówić zastosowania odpowiednich przepisów rozporządzenia Ministra Sprawiedliwości w sprawie ponoszenia przez Skarb Państwa kosztów nieopłaconej pomocy prawnej i wysokość opłaty ustalić w oparciu o </w:t>
      </w:r>
      <w:r w:rsidR="0048609E" w:rsidRPr="0048609E">
        <w:rPr>
          <w:rFonts w:ascii="Arial" w:hAnsi="Arial"/>
          <w:bCs/>
          <w:iCs/>
          <w:sz w:val="22"/>
          <w:szCs w:val="22"/>
        </w:rPr>
        <w:t>§</w:t>
      </w:r>
      <w:r w:rsidR="0048609E">
        <w:rPr>
          <w:rFonts w:ascii="Arial" w:hAnsi="Arial"/>
          <w:bCs/>
          <w:iCs/>
          <w:sz w:val="22"/>
          <w:szCs w:val="22"/>
        </w:rPr>
        <w:t>…………………….</w:t>
      </w:r>
      <w:r w:rsidR="00477816">
        <w:rPr>
          <w:rFonts w:ascii="Arial" w:hAnsi="Arial"/>
          <w:bCs/>
          <w:iCs/>
          <w:sz w:val="22"/>
          <w:szCs w:val="22"/>
        </w:rPr>
        <w:t xml:space="preserve"> </w:t>
      </w:r>
      <w:r w:rsidRPr="00CC27F9">
        <w:rPr>
          <w:rFonts w:ascii="Arial" w:eastAsia="Times New Roman" w:hAnsi="Arial"/>
          <w:sz w:val="22"/>
          <w:szCs w:val="22"/>
        </w:rPr>
        <w:t xml:space="preserve">rozporządzenia z dnia 22 października 2015 roku, tj. </w:t>
      </w:r>
      <w:r w:rsidR="00477816">
        <w:rPr>
          <w:rFonts w:ascii="Arial" w:eastAsia="Times New Roman" w:hAnsi="Arial"/>
          <w:sz w:val="22"/>
          <w:szCs w:val="22"/>
        </w:rPr>
        <w:t>………….</w:t>
      </w:r>
      <w:r w:rsidRPr="00CC27F9">
        <w:rPr>
          <w:rFonts w:ascii="Arial" w:eastAsia="Times New Roman" w:hAnsi="Arial"/>
          <w:sz w:val="22"/>
          <w:szCs w:val="22"/>
        </w:rPr>
        <w:t xml:space="preserve"> + VAT (</w:t>
      </w:r>
      <w:r w:rsidR="00477816">
        <w:rPr>
          <w:rFonts w:ascii="Arial" w:eastAsia="Times New Roman" w:hAnsi="Arial"/>
          <w:sz w:val="22"/>
          <w:szCs w:val="22"/>
        </w:rPr>
        <w:t>….</w:t>
      </w:r>
      <w:r w:rsidR="00A37329" w:rsidRPr="00CC27F9">
        <w:rPr>
          <w:rFonts w:ascii="Arial" w:eastAsia="Times New Roman" w:hAnsi="Arial"/>
          <w:sz w:val="22"/>
          <w:szCs w:val="22"/>
        </w:rPr>
        <w:t xml:space="preserve">) tj. łącznie </w:t>
      </w:r>
      <w:r w:rsidR="00477816">
        <w:rPr>
          <w:rFonts w:ascii="Arial" w:eastAsia="Times New Roman" w:hAnsi="Arial"/>
          <w:sz w:val="22"/>
          <w:szCs w:val="22"/>
        </w:rPr>
        <w:t>………………</w:t>
      </w:r>
      <w:r w:rsidR="00A37329" w:rsidRPr="00CC27F9">
        <w:rPr>
          <w:rFonts w:ascii="Arial" w:eastAsia="Times New Roman" w:hAnsi="Arial"/>
          <w:sz w:val="22"/>
          <w:szCs w:val="22"/>
        </w:rPr>
        <w:t xml:space="preserve">, co nie nastąpiło i skutkowało zaniżeniem przyznanej opłaty </w:t>
      </w:r>
      <w:r w:rsidR="00477816">
        <w:rPr>
          <w:rFonts w:ascii="Arial" w:eastAsia="Times New Roman" w:hAnsi="Arial"/>
          <w:sz w:val="22"/>
          <w:szCs w:val="22"/>
        </w:rPr>
        <w:t>tytułem</w:t>
      </w:r>
      <w:r w:rsidR="00A37329" w:rsidRPr="00CC27F9">
        <w:rPr>
          <w:rFonts w:ascii="Arial" w:eastAsia="Times New Roman" w:hAnsi="Arial"/>
          <w:sz w:val="22"/>
          <w:szCs w:val="22"/>
        </w:rPr>
        <w:t xml:space="preserve"> pomocy prawnej udzielonej </w:t>
      </w:r>
      <w:r w:rsidR="00477816">
        <w:rPr>
          <w:rFonts w:ascii="Arial" w:eastAsia="Times New Roman" w:hAnsi="Arial"/>
          <w:sz w:val="22"/>
          <w:szCs w:val="22"/>
        </w:rPr>
        <w:t>oskarżonemu</w:t>
      </w:r>
      <w:r w:rsidR="002D6F2E" w:rsidRPr="00CC27F9">
        <w:rPr>
          <w:rFonts w:ascii="Arial" w:eastAsia="Times New Roman" w:hAnsi="Arial"/>
          <w:sz w:val="22"/>
          <w:szCs w:val="22"/>
        </w:rPr>
        <w:t xml:space="preserve"> z urzędu</w:t>
      </w:r>
      <w:r w:rsidR="00A37329" w:rsidRPr="00CC27F9">
        <w:rPr>
          <w:rFonts w:ascii="Arial" w:eastAsia="Times New Roman" w:hAnsi="Arial"/>
          <w:sz w:val="22"/>
          <w:szCs w:val="22"/>
        </w:rPr>
        <w:t xml:space="preserve"> i miało wpływ na treść orzeczenia</w:t>
      </w:r>
    </w:p>
    <w:p w14:paraId="6A935727" w14:textId="24E4ABC1" w:rsidR="00A37329" w:rsidRDefault="00A37329" w:rsidP="00252663">
      <w:pPr>
        <w:pStyle w:val="Akapitzlist"/>
        <w:numPr>
          <w:ilvl w:val="0"/>
          <w:numId w:val="16"/>
        </w:num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215D29">
        <w:rPr>
          <w:rFonts w:ascii="Arial" w:eastAsia="Times New Roman" w:hAnsi="Arial"/>
          <w:b/>
          <w:bCs/>
          <w:sz w:val="22"/>
          <w:szCs w:val="22"/>
        </w:rPr>
        <w:t>§</w:t>
      </w:r>
      <w:r w:rsidRPr="00CC27F9">
        <w:rPr>
          <w:rFonts w:ascii="Arial" w:eastAsia="Times New Roman" w:hAnsi="Arial"/>
          <w:b/>
          <w:bCs/>
          <w:sz w:val="22"/>
          <w:szCs w:val="22"/>
        </w:rPr>
        <w:t>4 ust. 2 pkt 1 w zw</w:t>
      </w:r>
      <w:r w:rsidR="00FF4B0E">
        <w:rPr>
          <w:rFonts w:ascii="Arial" w:eastAsia="Times New Roman" w:hAnsi="Arial"/>
          <w:b/>
          <w:bCs/>
          <w:sz w:val="22"/>
          <w:szCs w:val="22"/>
        </w:rPr>
        <w:t>. z</w:t>
      </w:r>
      <w:r w:rsidRPr="00CC27F9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FF4B0E" w:rsidRPr="00CC27F9">
        <w:rPr>
          <w:rFonts w:ascii="Arial" w:hAnsi="Arial"/>
          <w:b/>
          <w:iCs/>
          <w:sz w:val="22"/>
          <w:szCs w:val="22"/>
        </w:rPr>
        <w:t>§</w:t>
      </w:r>
      <w:r w:rsidR="00FF4B0E">
        <w:rPr>
          <w:rFonts w:ascii="Arial" w:hAnsi="Arial"/>
          <w:b/>
          <w:iCs/>
          <w:sz w:val="22"/>
          <w:szCs w:val="22"/>
        </w:rPr>
        <w:t xml:space="preserve"> </w:t>
      </w:r>
      <w:r w:rsidR="0048609E">
        <w:rPr>
          <w:rFonts w:ascii="Arial" w:hAnsi="Arial"/>
          <w:b/>
          <w:iCs/>
          <w:sz w:val="22"/>
          <w:szCs w:val="22"/>
        </w:rPr>
        <w:t>…………………</w:t>
      </w:r>
      <w:r w:rsidR="00FF4B0E" w:rsidRPr="00470992">
        <w:rPr>
          <w:rFonts w:ascii="Arial" w:hAnsi="Arial"/>
          <w:b/>
          <w:iCs/>
          <w:sz w:val="22"/>
          <w:szCs w:val="22"/>
        </w:rPr>
        <w:t xml:space="preserve"> </w:t>
      </w:r>
      <w:r w:rsidRPr="00CC27F9">
        <w:rPr>
          <w:rFonts w:ascii="Arial" w:eastAsia="Times New Roman" w:hAnsi="Arial"/>
          <w:b/>
          <w:bCs/>
          <w:sz w:val="22"/>
          <w:szCs w:val="22"/>
        </w:rPr>
        <w:t>rozporządzenia Ministra Sprawiedliwości z dnia 3 października 2016 roku w sprawie ponoszenia przez Skarb Państwa kosztów nieopłaconej pomocy prawnej udzielonej przez adwokata z urzędu</w:t>
      </w:r>
      <w:r w:rsidRPr="00CC27F9">
        <w:rPr>
          <w:rFonts w:ascii="Arial" w:eastAsia="Times New Roman" w:hAnsi="Arial"/>
          <w:sz w:val="22"/>
          <w:szCs w:val="22"/>
        </w:rPr>
        <w:t xml:space="preserve"> poprzez odmowę jego zastosowani</w:t>
      </w:r>
      <w:r w:rsidR="002D6F2E" w:rsidRPr="00CC27F9">
        <w:rPr>
          <w:rFonts w:ascii="Arial" w:eastAsia="Times New Roman" w:hAnsi="Arial"/>
          <w:sz w:val="22"/>
          <w:szCs w:val="22"/>
        </w:rPr>
        <w:t>a</w:t>
      </w:r>
      <w:r w:rsidRPr="00CC27F9">
        <w:rPr>
          <w:rFonts w:ascii="Arial" w:eastAsia="Times New Roman" w:hAnsi="Arial"/>
          <w:sz w:val="22"/>
          <w:szCs w:val="22"/>
        </w:rPr>
        <w:t>, podczas gdy nakład pracy adwokata nie jest adekwatny do stawki podstawowej określonej w/w rozporządzeniu, albowiem stawka ta pozostaje niezmieniona począwszy od 28 września 2002 roku oraz nie oddaje obecnego nakładu pracy adwokata w porównaniu do poziomu cen oraz warunków rynkowych;</w:t>
      </w:r>
    </w:p>
    <w:p w14:paraId="0DB62E54" w14:textId="77777777" w:rsidR="00FF4B0E" w:rsidRPr="00CC27F9" w:rsidRDefault="00FF4B0E" w:rsidP="00FF4B0E">
      <w:pPr>
        <w:pStyle w:val="Akapitzlist"/>
        <w:tabs>
          <w:tab w:val="left" w:pos="4536"/>
        </w:tabs>
        <w:spacing w:line="366" w:lineRule="auto"/>
        <w:ind w:left="1080"/>
        <w:jc w:val="both"/>
        <w:rPr>
          <w:rFonts w:ascii="Arial" w:eastAsia="Times New Roman" w:hAnsi="Arial"/>
          <w:sz w:val="22"/>
          <w:szCs w:val="22"/>
        </w:rPr>
      </w:pPr>
    </w:p>
    <w:p w14:paraId="534019C6" w14:textId="1049D1A7" w:rsidR="00A37329" w:rsidRPr="00CC27F9" w:rsidRDefault="00A37329" w:rsidP="00A37329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lastRenderedPageBreak/>
        <w:t xml:space="preserve">W oparciu o powyższe zarzuty </w:t>
      </w:r>
      <w:r w:rsidRPr="00CC27F9">
        <w:rPr>
          <w:rFonts w:ascii="Arial" w:eastAsia="Times New Roman" w:hAnsi="Arial"/>
          <w:b/>
          <w:bCs/>
          <w:sz w:val="22"/>
          <w:szCs w:val="22"/>
        </w:rPr>
        <w:t xml:space="preserve">wnoszę o zmianę zaskarżonego postanowienia </w:t>
      </w:r>
      <w:r w:rsidR="00F05E20">
        <w:rPr>
          <w:rFonts w:ascii="Arial" w:eastAsia="Times New Roman" w:hAnsi="Arial"/>
          <w:b/>
          <w:bCs/>
          <w:sz w:val="22"/>
          <w:szCs w:val="22"/>
        </w:rPr>
        <w:br/>
      </w:r>
      <w:r w:rsidRPr="00CC27F9">
        <w:rPr>
          <w:rFonts w:ascii="Arial" w:eastAsia="Times New Roman" w:hAnsi="Arial"/>
          <w:b/>
          <w:bCs/>
          <w:sz w:val="22"/>
          <w:szCs w:val="22"/>
        </w:rPr>
        <w:t xml:space="preserve">w </w:t>
      </w:r>
      <w:r w:rsidR="00EC2599" w:rsidRPr="00CC27F9">
        <w:rPr>
          <w:rFonts w:ascii="Arial" w:eastAsia="Times New Roman" w:hAnsi="Arial"/>
          <w:b/>
          <w:bCs/>
          <w:sz w:val="22"/>
          <w:szCs w:val="22"/>
        </w:rPr>
        <w:t xml:space="preserve">zaskarżonej części </w:t>
      </w:r>
      <w:r w:rsidRPr="00CC27F9">
        <w:rPr>
          <w:rFonts w:ascii="Arial" w:eastAsia="Times New Roman" w:hAnsi="Arial"/>
          <w:sz w:val="22"/>
          <w:szCs w:val="22"/>
        </w:rPr>
        <w:t xml:space="preserve">i przyznanie na moją rzecz ze środków Skarbu Państwa </w:t>
      </w:r>
      <w:r w:rsidRPr="00CC27F9">
        <w:rPr>
          <w:rFonts w:ascii="Arial" w:eastAsia="Times New Roman" w:hAnsi="Arial"/>
          <w:b/>
          <w:bCs/>
          <w:sz w:val="22"/>
          <w:szCs w:val="22"/>
        </w:rPr>
        <w:t xml:space="preserve">dodatkowo kwoty </w:t>
      </w:r>
      <w:r w:rsidR="00470992">
        <w:rPr>
          <w:rFonts w:ascii="Arial" w:eastAsia="Times New Roman" w:hAnsi="Arial"/>
          <w:b/>
          <w:bCs/>
          <w:sz w:val="22"/>
          <w:szCs w:val="22"/>
        </w:rPr>
        <w:t>…………….</w:t>
      </w:r>
      <w:r w:rsidR="00AE3FE2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AE3FE2" w:rsidRPr="00AE3FE2">
        <w:rPr>
          <w:rFonts w:ascii="Arial" w:eastAsia="Times New Roman" w:hAnsi="Arial"/>
          <w:sz w:val="22"/>
          <w:szCs w:val="22"/>
        </w:rPr>
        <w:t>+ VAT</w:t>
      </w:r>
      <w:r w:rsidRPr="00CC27F9">
        <w:rPr>
          <w:rFonts w:ascii="Arial" w:eastAsia="Times New Roman" w:hAnsi="Arial"/>
          <w:sz w:val="22"/>
          <w:szCs w:val="22"/>
        </w:rPr>
        <w:t xml:space="preserve"> tj. łącznie kwoty </w:t>
      </w:r>
      <w:r w:rsidR="00470992">
        <w:rPr>
          <w:rFonts w:ascii="Arial" w:eastAsia="Times New Roman" w:hAnsi="Arial"/>
          <w:sz w:val="22"/>
          <w:szCs w:val="22"/>
        </w:rPr>
        <w:t>……………….</w:t>
      </w:r>
      <w:r w:rsidRPr="00CC27F9">
        <w:rPr>
          <w:rFonts w:ascii="Arial" w:eastAsia="Times New Roman" w:hAnsi="Arial"/>
          <w:sz w:val="22"/>
          <w:szCs w:val="22"/>
        </w:rPr>
        <w:t xml:space="preserve"> tytułem kosztów pomocy prawnej udzielonej </w:t>
      </w:r>
      <w:r w:rsidR="00470992">
        <w:rPr>
          <w:rFonts w:ascii="Arial" w:eastAsia="Times New Roman" w:hAnsi="Arial"/>
          <w:sz w:val="22"/>
          <w:szCs w:val="22"/>
        </w:rPr>
        <w:t>oskarżonemu</w:t>
      </w:r>
      <w:r w:rsidR="0073204A" w:rsidRPr="00CC27F9">
        <w:rPr>
          <w:rFonts w:ascii="Arial" w:eastAsia="Times New Roman" w:hAnsi="Arial"/>
          <w:sz w:val="22"/>
          <w:szCs w:val="22"/>
        </w:rPr>
        <w:t xml:space="preserve"> w postępowaniu </w:t>
      </w:r>
      <w:r w:rsidR="00470992">
        <w:rPr>
          <w:rFonts w:ascii="Arial" w:eastAsia="Times New Roman" w:hAnsi="Arial"/>
          <w:sz w:val="22"/>
          <w:szCs w:val="22"/>
        </w:rPr>
        <w:t>przygotowawczym oraz w postępowaniu przed Sądem I instancji</w:t>
      </w:r>
      <w:r w:rsidR="0073204A" w:rsidRPr="00CC27F9">
        <w:rPr>
          <w:rFonts w:ascii="Arial" w:eastAsia="Times New Roman" w:hAnsi="Arial"/>
          <w:sz w:val="22"/>
          <w:szCs w:val="22"/>
        </w:rPr>
        <w:t>.</w:t>
      </w:r>
    </w:p>
    <w:p w14:paraId="7EA3EF13" w14:textId="77777777" w:rsidR="0073204A" w:rsidRPr="00CC27F9" w:rsidRDefault="0073204A" w:rsidP="00A37329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257C9EE0" w14:textId="77777777" w:rsidR="008F5FD8" w:rsidRDefault="008F5FD8" w:rsidP="00A37329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</w:p>
    <w:p w14:paraId="16D69E4F" w14:textId="11F9569E" w:rsidR="00A37329" w:rsidRPr="00CC27F9" w:rsidRDefault="00A37329" w:rsidP="00A37329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>UZASADNIENIE:</w:t>
      </w:r>
    </w:p>
    <w:p w14:paraId="192378FB" w14:textId="77777777" w:rsidR="00A37329" w:rsidRPr="00CC27F9" w:rsidRDefault="00A37329" w:rsidP="00A37329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</w:p>
    <w:p w14:paraId="4A50FA2A" w14:textId="74ACEB7B" w:rsidR="00FF4B0E" w:rsidRDefault="00713481" w:rsidP="00FF4B0E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</w:rPr>
        <w:t xml:space="preserve">Sąd </w:t>
      </w:r>
      <w:r w:rsidR="00FF4B0E">
        <w:rPr>
          <w:rFonts w:ascii="Arial" w:eastAsia="Times New Roman" w:hAnsi="Arial"/>
          <w:bCs/>
          <w:sz w:val="22"/>
          <w:szCs w:val="22"/>
        </w:rPr>
        <w:t>Rejonowy</w:t>
      </w:r>
      <w:r>
        <w:rPr>
          <w:rFonts w:ascii="Arial" w:eastAsia="Times New Roman" w:hAnsi="Arial"/>
          <w:bCs/>
          <w:sz w:val="22"/>
          <w:szCs w:val="22"/>
        </w:rPr>
        <w:t xml:space="preserve"> w …………….w wyroku wydanym w dniu ………………… przyznał adwokatowi …………. </w:t>
      </w:r>
      <w:r w:rsidR="0048609E">
        <w:rPr>
          <w:rFonts w:ascii="Arial" w:eastAsia="Times New Roman" w:hAnsi="Arial"/>
          <w:bCs/>
          <w:sz w:val="22"/>
          <w:szCs w:val="22"/>
        </w:rPr>
        <w:t xml:space="preserve">od Skarbu Państwa </w:t>
      </w:r>
      <w:r>
        <w:rPr>
          <w:rFonts w:ascii="Arial" w:eastAsia="Times New Roman" w:hAnsi="Arial"/>
          <w:bCs/>
          <w:sz w:val="22"/>
          <w:szCs w:val="22"/>
        </w:rPr>
        <w:t xml:space="preserve">wynagrodzenie za pomocą prawną udzieloną </w:t>
      </w:r>
      <w:r w:rsidR="0048609E">
        <w:rPr>
          <w:rFonts w:ascii="Arial" w:eastAsia="Times New Roman" w:hAnsi="Arial"/>
          <w:bCs/>
          <w:sz w:val="22"/>
          <w:szCs w:val="22"/>
        </w:rPr>
        <w:t>pozwanemu</w:t>
      </w:r>
      <w:r>
        <w:rPr>
          <w:rFonts w:ascii="Arial" w:eastAsia="Times New Roman" w:hAnsi="Arial"/>
          <w:bCs/>
          <w:sz w:val="22"/>
          <w:szCs w:val="22"/>
        </w:rPr>
        <w:t xml:space="preserve"> z urzędu </w:t>
      </w:r>
      <w:r w:rsidR="00FF4B0E">
        <w:rPr>
          <w:rFonts w:ascii="Arial" w:eastAsia="Times New Roman" w:hAnsi="Arial"/>
          <w:bCs/>
          <w:sz w:val="22"/>
          <w:szCs w:val="22"/>
        </w:rPr>
        <w:t xml:space="preserve">w wysokości …………………… </w:t>
      </w:r>
      <w:r>
        <w:rPr>
          <w:rFonts w:ascii="Arial" w:eastAsia="Times New Roman" w:hAnsi="Arial"/>
          <w:bCs/>
          <w:sz w:val="22"/>
          <w:szCs w:val="22"/>
        </w:rPr>
        <w:t xml:space="preserve"> </w:t>
      </w:r>
      <w:r w:rsidR="00FF4B0E">
        <w:rPr>
          <w:rFonts w:ascii="Arial" w:eastAsia="Times New Roman" w:hAnsi="Arial"/>
          <w:bCs/>
          <w:sz w:val="22"/>
          <w:szCs w:val="22"/>
        </w:rPr>
        <w:t xml:space="preserve"> Rozstrzygnięcie Sądu </w:t>
      </w:r>
      <w:r w:rsidR="0048609E">
        <w:rPr>
          <w:rFonts w:ascii="Arial" w:eastAsia="Times New Roman" w:hAnsi="Arial"/>
          <w:bCs/>
          <w:sz w:val="22"/>
          <w:szCs w:val="22"/>
        </w:rPr>
        <w:t xml:space="preserve">…… </w:t>
      </w:r>
      <w:r w:rsidR="00FF4B0E">
        <w:rPr>
          <w:rFonts w:ascii="Arial" w:eastAsia="Times New Roman" w:hAnsi="Arial"/>
          <w:bCs/>
          <w:sz w:val="22"/>
          <w:szCs w:val="22"/>
        </w:rPr>
        <w:t xml:space="preserve">instancji należy uznać za błędne, albowiem narusza ono </w:t>
      </w:r>
      <w:r w:rsidR="00BF7FC2">
        <w:rPr>
          <w:rFonts w:ascii="Arial" w:eastAsia="Times New Roman" w:hAnsi="Arial"/>
          <w:bCs/>
          <w:sz w:val="22"/>
          <w:szCs w:val="22"/>
        </w:rPr>
        <w:t>przepisy postępowania</w:t>
      </w:r>
      <w:r w:rsidR="00FF4B0E">
        <w:rPr>
          <w:rFonts w:ascii="Arial" w:eastAsia="Times New Roman" w:hAnsi="Arial"/>
          <w:bCs/>
          <w:sz w:val="22"/>
          <w:szCs w:val="22"/>
        </w:rPr>
        <w:t xml:space="preserve"> w zakresie określenia podstawy wynagrodzenia </w:t>
      </w:r>
      <w:r w:rsidR="0048609E">
        <w:rPr>
          <w:rFonts w:ascii="Arial" w:eastAsia="Times New Roman" w:hAnsi="Arial"/>
          <w:bCs/>
          <w:sz w:val="22"/>
          <w:szCs w:val="22"/>
        </w:rPr>
        <w:t>pełnomocnika</w:t>
      </w:r>
      <w:r w:rsidR="00FF4B0E">
        <w:rPr>
          <w:rFonts w:ascii="Arial" w:eastAsia="Times New Roman" w:hAnsi="Arial"/>
          <w:bCs/>
          <w:sz w:val="22"/>
          <w:szCs w:val="22"/>
        </w:rPr>
        <w:t xml:space="preserve"> z urzędu.</w:t>
      </w:r>
    </w:p>
    <w:p w14:paraId="2ADB3E28" w14:textId="1F9A0BC8" w:rsidR="00FF4B0E" w:rsidRDefault="00FF4B0E" w:rsidP="00A37329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</w:p>
    <w:p w14:paraId="28B134D0" w14:textId="60B77586" w:rsidR="00A37329" w:rsidRPr="00CC27F9" w:rsidRDefault="00EC2599" w:rsidP="00A37329">
      <w:pPr>
        <w:spacing w:line="366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eastAsia="Times New Roman" w:hAnsi="Arial"/>
          <w:bCs/>
          <w:sz w:val="22"/>
          <w:szCs w:val="22"/>
        </w:rPr>
        <w:t xml:space="preserve">Należy uznać, że przepis </w:t>
      </w:r>
      <w:r w:rsidR="00206874" w:rsidRPr="00206874">
        <w:rPr>
          <w:rFonts w:ascii="Arial" w:eastAsia="Times New Roman" w:hAnsi="Arial"/>
          <w:sz w:val="22"/>
          <w:szCs w:val="22"/>
        </w:rPr>
        <w:t xml:space="preserve">§ 2 pkt. 1  w zw. </w:t>
      </w:r>
      <w:r w:rsidRPr="00206874">
        <w:rPr>
          <w:rFonts w:ascii="Arial" w:eastAsia="Times New Roman" w:hAnsi="Arial"/>
          <w:sz w:val="22"/>
          <w:szCs w:val="22"/>
        </w:rPr>
        <w:t>4 ust</w:t>
      </w:r>
      <w:r w:rsidRPr="00CC27F9">
        <w:rPr>
          <w:rFonts w:ascii="Arial" w:eastAsia="Times New Roman" w:hAnsi="Arial"/>
          <w:sz w:val="22"/>
          <w:szCs w:val="22"/>
        </w:rPr>
        <w:t xml:space="preserve">. 1 rozporządzenia </w:t>
      </w:r>
      <w:r w:rsidR="00585981" w:rsidRPr="00CC27F9">
        <w:rPr>
          <w:rFonts w:ascii="Arial" w:eastAsia="Times New Roman" w:hAnsi="Arial"/>
          <w:sz w:val="22"/>
          <w:szCs w:val="22"/>
        </w:rPr>
        <w:t xml:space="preserve">Ministra Sprawiedliwości </w:t>
      </w:r>
      <w:r w:rsidR="00206874">
        <w:rPr>
          <w:rFonts w:ascii="Arial" w:eastAsia="Times New Roman" w:hAnsi="Arial"/>
          <w:sz w:val="22"/>
          <w:szCs w:val="22"/>
        </w:rPr>
        <w:br/>
        <w:t xml:space="preserve">z dnia 3 października 2016 roku </w:t>
      </w:r>
      <w:r w:rsidRPr="00CC27F9">
        <w:rPr>
          <w:rFonts w:ascii="Arial" w:eastAsia="Times New Roman" w:hAnsi="Arial"/>
          <w:sz w:val="22"/>
          <w:szCs w:val="22"/>
        </w:rPr>
        <w:t xml:space="preserve">w sprawie </w:t>
      </w:r>
      <w:r w:rsidR="00585981" w:rsidRPr="00CC27F9">
        <w:rPr>
          <w:rFonts w:ascii="Arial" w:eastAsia="Times New Roman" w:hAnsi="Arial"/>
          <w:sz w:val="22"/>
          <w:szCs w:val="22"/>
        </w:rPr>
        <w:t>nieopłaconej pomocy prawnej udzielonej przez adwokata z urzędu</w:t>
      </w:r>
      <w:r w:rsidR="00206874">
        <w:rPr>
          <w:rFonts w:ascii="Arial" w:eastAsia="Times New Roman" w:hAnsi="Arial"/>
          <w:sz w:val="22"/>
          <w:szCs w:val="22"/>
        </w:rPr>
        <w:t xml:space="preserve">, określający mechanizm przyznawania wynagrodzenia jako opłaty ustalonej zgodnie z przepisami niniejszego rozporządzenia, </w:t>
      </w:r>
      <w:r w:rsidR="00585981" w:rsidRPr="00CC27F9">
        <w:rPr>
          <w:rFonts w:ascii="Arial" w:eastAsia="Times New Roman" w:hAnsi="Arial"/>
          <w:sz w:val="22"/>
          <w:szCs w:val="22"/>
        </w:rPr>
        <w:t xml:space="preserve">w związku z odpowiednimi przepisami określającymi wysokość stawki </w:t>
      </w:r>
      <w:r w:rsidR="00585981" w:rsidRPr="00206874">
        <w:rPr>
          <w:rFonts w:ascii="Arial" w:eastAsia="Times New Roman" w:hAnsi="Arial"/>
          <w:b/>
          <w:bCs/>
          <w:sz w:val="22"/>
          <w:szCs w:val="22"/>
        </w:rPr>
        <w:t>pozostaje sprzeczny z Konstytucją RP</w:t>
      </w:r>
      <w:r w:rsidR="00585981" w:rsidRPr="00CC27F9">
        <w:rPr>
          <w:rFonts w:ascii="Arial" w:eastAsia="Times New Roman" w:hAnsi="Arial"/>
          <w:sz w:val="22"/>
          <w:szCs w:val="22"/>
        </w:rPr>
        <w:t xml:space="preserve"> – </w:t>
      </w:r>
      <w:r w:rsidR="00206874">
        <w:rPr>
          <w:rFonts w:ascii="Arial" w:eastAsia="Times New Roman" w:hAnsi="Arial"/>
          <w:sz w:val="22"/>
          <w:szCs w:val="22"/>
        </w:rPr>
        <w:br/>
      </w:r>
      <w:r w:rsidR="00585981" w:rsidRPr="00CC27F9">
        <w:rPr>
          <w:rFonts w:ascii="Arial" w:eastAsia="Times New Roman" w:hAnsi="Arial"/>
          <w:sz w:val="22"/>
          <w:szCs w:val="22"/>
        </w:rPr>
        <w:t xml:space="preserve">w zakresie w jakim różnicuje stawki wynagrodzenia </w:t>
      </w:r>
      <w:r w:rsidR="0048609E">
        <w:rPr>
          <w:rFonts w:ascii="Arial" w:eastAsia="Times New Roman" w:hAnsi="Arial"/>
          <w:sz w:val="22"/>
          <w:szCs w:val="22"/>
        </w:rPr>
        <w:t>pełnomocnika</w:t>
      </w:r>
      <w:r w:rsidR="00585981" w:rsidRPr="00CC27F9">
        <w:rPr>
          <w:rFonts w:ascii="Arial" w:eastAsia="Times New Roman" w:hAnsi="Arial"/>
          <w:sz w:val="22"/>
          <w:szCs w:val="22"/>
        </w:rPr>
        <w:t xml:space="preserve"> w zależności od tego czy podstawą jego umocowania jest działanie z urzędu czy też reprezentacja strony z wyboru</w:t>
      </w:r>
      <w:r w:rsidR="00206874" w:rsidRPr="00206874">
        <w:rPr>
          <w:rFonts w:ascii="Arial" w:eastAsia="Times New Roman" w:hAnsi="Arial"/>
          <w:sz w:val="22"/>
          <w:szCs w:val="22"/>
        </w:rPr>
        <w:t xml:space="preserve">. </w:t>
      </w:r>
      <w:r w:rsidR="00A37329" w:rsidRPr="00206874">
        <w:rPr>
          <w:rFonts w:ascii="Arial" w:eastAsia="Times New Roman" w:hAnsi="Arial"/>
          <w:sz w:val="22"/>
          <w:szCs w:val="22"/>
        </w:rPr>
        <w:t xml:space="preserve">Podstawą wysokości wynagrodzenia </w:t>
      </w:r>
      <w:r w:rsidR="0048609E">
        <w:rPr>
          <w:rFonts w:ascii="Arial" w:eastAsia="Times New Roman" w:hAnsi="Arial"/>
          <w:sz w:val="22"/>
          <w:szCs w:val="22"/>
        </w:rPr>
        <w:t>pełnomocnika</w:t>
      </w:r>
      <w:r w:rsidR="00A37329" w:rsidRPr="00206874">
        <w:rPr>
          <w:rFonts w:ascii="Arial" w:eastAsia="Times New Roman" w:hAnsi="Arial"/>
          <w:sz w:val="22"/>
          <w:szCs w:val="22"/>
        </w:rPr>
        <w:t xml:space="preserve"> z urzędu w niniejszej sprawie powinna być stawka minimalna określona w rozporządzeniu w sprawie stawek z wyboru tj. odpowiednia</w:t>
      </w:r>
      <w:r w:rsidR="00A37329" w:rsidRPr="00CC27F9">
        <w:rPr>
          <w:rFonts w:ascii="Arial" w:eastAsia="Times New Roman" w:hAnsi="Arial"/>
          <w:b/>
          <w:sz w:val="22"/>
          <w:szCs w:val="22"/>
        </w:rPr>
        <w:t xml:space="preserve"> norma §</w:t>
      </w:r>
      <w:r w:rsidR="0048609E">
        <w:rPr>
          <w:rFonts w:ascii="Arial" w:eastAsia="Times New Roman" w:hAnsi="Arial"/>
          <w:b/>
          <w:sz w:val="22"/>
          <w:szCs w:val="22"/>
        </w:rPr>
        <w:t>……….</w:t>
      </w:r>
      <w:r w:rsidR="00A37329" w:rsidRPr="00CC27F9">
        <w:rPr>
          <w:rFonts w:ascii="Arial" w:eastAsia="Times New Roman" w:hAnsi="Arial"/>
          <w:b/>
          <w:sz w:val="22"/>
          <w:szCs w:val="22"/>
        </w:rPr>
        <w:t xml:space="preserve"> rozporządzenia Ministra Sprawiedliwości w sprawie opłat za czynności adwokackie z dnia 22 października 2015 roku</w:t>
      </w:r>
      <w:r w:rsidRPr="00CC27F9">
        <w:rPr>
          <w:rFonts w:ascii="Arial" w:hAnsi="Arial"/>
          <w:sz w:val="22"/>
          <w:szCs w:val="22"/>
        </w:rPr>
        <w:t xml:space="preserve"> – w tym wypadku</w:t>
      </w:r>
      <w:r w:rsidRPr="00CC27F9">
        <w:rPr>
          <w:rFonts w:ascii="Arial" w:hAnsi="Arial"/>
          <w:bCs/>
          <w:sz w:val="22"/>
          <w:szCs w:val="22"/>
        </w:rPr>
        <w:t xml:space="preserve"> </w:t>
      </w:r>
      <w:r w:rsidR="00D2070D" w:rsidRPr="00CC27F9">
        <w:rPr>
          <w:rFonts w:ascii="Arial" w:hAnsi="Arial"/>
          <w:bCs/>
          <w:iCs/>
          <w:sz w:val="22"/>
          <w:szCs w:val="22"/>
        </w:rPr>
        <w:t xml:space="preserve">§ </w:t>
      </w:r>
      <w:r w:rsidR="0048609E">
        <w:rPr>
          <w:rFonts w:ascii="Arial" w:hAnsi="Arial"/>
          <w:bCs/>
          <w:iCs/>
          <w:sz w:val="22"/>
          <w:szCs w:val="22"/>
        </w:rPr>
        <w:t>………………..</w:t>
      </w:r>
      <w:r w:rsidRPr="00CC27F9">
        <w:rPr>
          <w:rFonts w:ascii="Arial" w:hAnsi="Arial"/>
          <w:bCs/>
          <w:iCs/>
          <w:sz w:val="22"/>
          <w:szCs w:val="22"/>
        </w:rPr>
        <w:t xml:space="preserve"> rozporządzenia. </w:t>
      </w:r>
    </w:p>
    <w:p w14:paraId="3143E97A" w14:textId="77777777" w:rsidR="00A37329" w:rsidRPr="00CC27F9" w:rsidRDefault="00A37329" w:rsidP="00A37329">
      <w:pPr>
        <w:spacing w:line="366" w:lineRule="auto"/>
        <w:jc w:val="both"/>
        <w:rPr>
          <w:rFonts w:ascii="Arial" w:eastAsia="Times New Roman" w:hAnsi="Arial"/>
          <w:b/>
          <w:sz w:val="22"/>
          <w:szCs w:val="22"/>
        </w:rPr>
      </w:pPr>
    </w:p>
    <w:p w14:paraId="1560C5F7" w14:textId="45A4AD71" w:rsidR="00A37329" w:rsidRPr="00CC27F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CC27F9">
        <w:rPr>
          <w:rFonts w:ascii="Arial" w:eastAsia="Times New Roman" w:hAnsi="Arial"/>
          <w:bCs/>
          <w:sz w:val="22"/>
          <w:szCs w:val="22"/>
        </w:rPr>
        <w:t xml:space="preserve">W zakresie konstytucyjności omawianego przepisu (tj. </w:t>
      </w:r>
      <w:r w:rsidRPr="00CC27F9">
        <w:rPr>
          <w:rFonts w:ascii="Arial" w:eastAsia="Times New Roman" w:hAnsi="Arial"/>
          <w:sz w:val="22"/>
          <w:szCs w:val="22"/>
        </w:rPr>
        <w:t>§4 ust. 1 rozporządzenia w sprawie stawek z urzędu</w:t>
      </w:r>
      <w:r w:rsidRPr="00CC27F9">
        <w:rPr>
          <w:rFonts w:ascii="Arial" w:eastAsia="Times New Roman" w:hAnsi="Arial"/>
          <w:bCs/>
          <w:sz w:val="22"/>
          <w:szCs w:val="22"/>
        </w:rPr>
        <w:t xml:space="preserve">) wypowiedział się Trybunał Konstytucyjny w rozstrzygnięciu z dnia </w:t>
      </w:r>
      <w:r w:rsidRPr="00CC27F9">
        <w:rPr>
          <w:rFonts w:ascii="Arial" w:eastAsia="Times New Roman" w:hAnsi="Arial"/>
          <w:bCs/>
          <w:sz w:val="22"/>
          <w:szCs w:val="22"/>
        </w:rPr>
        <w:br/>
        <w:t xml:space="preserve">23 kwietnia 2020 roku (sygn. akt. SK 66/19) stwierdzając, że 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§ 4 ust. 1 rozporządzenia Ministra Sprawiedliwości z dnia 22 października 2015 r. w sprawie ponoszenia przez Skarb Państwa kosztów nieopłaconej pomocy prawnej udzielonej przez adwokata z urzędu ( Dz.U. poz. 1801)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jest niezgodny z art. 64 ust. 2 w związku z art. 31 ust. 3, art. 32 ust. 1 zdanie drugie i art. 92 ust. 1 zdanie pierwsze Konstytucji Rzeczypospolitej Polskiej.  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Jakkolwiek orzeczenie odnosi się wprost do brzmienia rozporządzenia Ministra Sprawiedliwości z dnia 22 października 2015 roku, tak też jego w uzasadnieniu przesądzono, że jakiekolwiek </w:t>
      </w:r>
      <w:r w:rsidRPr="00CC27F9">
        <w:rPr>
          <w:rFonts w:ascii="Arial" w:hAnsi="Arial"/>
          <w:sz w:val="22"/>
          <w:szCs w:val="22"/>
          <w:shd w:val="clear" w:color="auto" w:fill="FFFFFF"/>
        </w:rPr>
        <w:lastRenderedPageBreak/>
        <w:t xml:space="preserve">różnicowanie stawek </w:t>
      </w:r>
      <w:r w:rsidR="00EC2599" w:rsidRPr="00CC27F9">
        <w:rPr>
          <w:rFonts w:ascii="Arial" w:hAnsi="Arial"/>
          <w:sz w:val="22"/>
          <w:szCs w:val="22"/>
          <w:shd w:val="clear" w:color="auto" w:fill="FFFFFF"/>
        </w:rPr>
        <w:t>pełnomocnika</w:t>
      </w:r>
      <w:r w:rsidR="002D6F2E" w:rsidRPr="00CC27F9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z urzędu oraz </w:t>
      </w:r>
      <w:r w:rsidR="00EC2599" w:rsidRPr="00CC27F9">
        <w:rPr>
          <w:rFonts w:ascii="Arial" w:hAnsi="Arial"/>
          <w:sz w:val="22"/>
          <w:szCs w:val="22"/>
          <w:shd w:val="clear" w:color="auto" w:fill="FFFFFF"/>
        </w:rPr>
        <w:t>pełnomocnika</w:t>
      </w:r>
      <w:r w:rsidR="0048609E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z wyboru pozostaje sprzeczne z wyżej powołanymi przepisami Konstytucji Rzeczypospolitej Polskiej. </w:t>
      </w:r>
    </w:p>
    <w:p w14:paraId="3C9743A3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120A92D1" w14:textId="0DF671E5" w:rsidR="00A37329" w:rsidRPr="00CC27F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CC27F9">
        <w:rPr>
          <w:rFonts w:ascii="Arial" w:hAnsi="Arial"/>
          <w:sz w:val="22"/>
          <w:szCs w:val="22"/>
          <w:shd w:val="clear" w:color="auto" w:fill="FFFFFF"/>
        </w:rPr>
        <w:t>Jak wynika z uzasadnienia rozstrzygnięcia Trybunału Konstytucyjnego (SK 66/19):</w:t>
      </w:r>
    </w:p>
    <w:p w14:paraId="3AAF2428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6C0AF044" w14:textId="7DA2FA14" w:rsidR="00A37329" w:rsidRPr="00CC27F9" w:rsidRDefault="00A37329" w:rsidP="00A37329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„Analiza statusu adwokatów i ich roli w postępowaniu, w którym występują jako </w:t>
      </w:r>
      <w:r w:rsidR="0075452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br/>
      </w: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pod</w:t>
      </w: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mioty powołane i zobowiązane do zastępstwa prawnego, prowadzi do uznania, że różnicowa</w:t>
      </w: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nie ich wynagrodzenia (tj. obniżenie pełnomocnikom z urzędu o połowę wynagrodzenia, któ</w:t>
      </w: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re otrzymaliby, gdyby występowali w sprawie jako pełnomocnicy z wyboru) nie ma konsty</w:t>
      </w: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tucyjnego uzasadnienia. Odstępstwo od zasady równości, w tym również równej ochrony praw majątkowych, jest więc niedopuszczalne.”</w:t>
      </w:r>
    </w:p>
    <w:p w14:paraId="7AB04375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</w:p>
    <w:p w14:paraId="6CE11BD0" w14:textId="7653F2D9" w:rsidR="00A37329" w:rsidRPr="00CC27F9" w:rsidRDefault="009E0A02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Pomimo wielokrotnego wskazywania przez sądy powszechne, że obecne rozporządzenie powinno być również przedmiotem kontroli Trybunału Konstytucyjnego wskazać należy, że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 na gruncie obecnego orzecznictwa sądowego zarówno sądów polskich, jak też sądów międzynarodowych budzi istotne wątpliwości czy Trybunał Konstytucyjny </w:t>
      </w:r>
      <w:r>
        <w:rPr>
          <w:rFonts w:ascii="Arial" w:hAnsi="Arial"/>
          <w:sz w:val="22"/>
          <w:szCs w:val="22"/>
          <w:shd w:val="clear" w:color="auto" w:fill="FFFFFF"/>
        </w:rPr>
        <w:br/>
      </w:r>
      <w:r w:rsidRPr="00CC27F9">
        <w:rPr>
          <w:rFonts w:ascii="Arial" w:hAnsi="Arial"/>
          <w:sz w:val="22"/>
          <w:szCs w:val="22"/>
          <w:shd w:val="clear" w:color="auto" w:fill="FFFFFF"/>
        </w:rPr>
        <w:t>w obecnym składzie w ogóle może wykonywać dotychczasową rolę sądu konstytucyjnego</w:t>
      </w:r>
      <w:r w:rsidRPr="00CC27F9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1"/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, </w:t>
      </w:r>
      <w:r w:rsidRPr="001771EB">
        <w:rPr>
          <w:rFonts w:ascii="Arial" w:hAnsi="Arial"/>
          <w:b/>
          <w:bCs/>
          <w:sz w:val="22"/>
          <w:szCs w:val="22"/>
          <w:shd w:val="clear" w:color="auto" w:fill="FFFFFF"/>
        </w:rPr>
        <w:t>wobec czego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>nie ulega kwestii, iż sąd orzekający zobowiązany jest dokonywać tzw. „rozproszonej kontroli konstytucyjności” norm rozporządzenia wykonawczego. Zwłaszcza wówczas, gdy obywatel mógłby zostać pozbawiony z różnych względów skutecznego prawa kwestionowania normy jako sprzecznej z konstytucją</w:t>
      </w:r>
      <w:r w:rsidR="00A37329"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. </w:t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Nie tylko możliwość, ale także </w:t>
      </w:r>
      <w:r w:rsidR="00A37329" w:rsidRPr="00CC27F9">
        <w:rPr>
          <w:rFonts w:ascii="Arial" w:hAnsi="Arial"/>
          <w:sz w:val="22"/>
          <w:szCs w:val="22"/>
          <w:u w:val="single"/>
          <w:shd w:val="clear" w:color="auto" w:fill="FFFFFF"/>
        </w:rPr>
        <w:t>konieczność</w:t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 stosowania takiego środka wynika zarówno ze stanowiska doktryny</w:t>
      </w:r>
      <w:r w:rsidR="00A37329" w:rsidRPr="00CC27F9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2"/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 i orzecznictwa</w:t>
      </w:r>
      <w:r w:rsidR="00A37329" w:rsidRPr="00CC27F9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3"/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 Aktualnie zasada bezpośredniego wykorzystywania konstytucji w procesie stosowania prawa przez sąd nie budzi kontrowersji, a wręcz spotyka się z aprobatą. Stosowanie konstytucji przez sądy służy nie tylko realizacji uprawnień obywatelskich składających na konstytucyjne prawo do sądu, ale jest przede wszystkim instrumentem umożliwiającym realizację roszczenia do słuszności prawa oraz sprawiedliwości </w:t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lastRenderedPageBreak/>
        <w:t>rozstrzygnięcia.</w:t>
      </w:r>
      <w:r w:rsidR="00A37329"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Sądy są tym samym uprawnione i zobowiązane do rozważenia problemów konstytucyjnych w procesie orzekania. </w:t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Sądy nie są także pozbawione możliwości sprawowania władczej kontroli konstytucyjności i legalności rozporządzeń. </w:t>
      </w:r>
    </w:p>
    <w:p w14:paraId="12F4F419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43BA39A1" w14:textId="65E0D3C9" w:rsidR="00FF4B0E" w:rsidRDefault="00A37329" w:rsidP="00A3732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Rozporządzenie Ministra Sprawiedliwości z dnia 3 października 2016 roku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niedopuszczalnie różnicuje wynagrodzenie </w:t>
      </w:r>
      <w:r w:rsidR="0075452C">
        <w:rPr>
          <w:rFonts w:ascii="Arial" w:hAnsi="Arial"/>
          <w:b/>
          <w:bCs/>
          <w:sz w:val="22"/>
          <w:szCs w:val="22"/>
          <w:shd w:val="clear" w:color="auto" w:fill="FFFFFF"/>
        </w:rPr>
        <w:t>pełnomocnika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urzędu w stosunku do </w:t>
      </w:r>
      <w:r w:rsidR="0075452C">
        <w:rPr>
          <w:rFonts w:ascii="Arial" w:hAnsi="Arial"/>
          <w:b/>
          <w:bCs/>
          <w:sz w:val="22"/>
          <w:szCs w:val="22"/>
          <w:shd w:val="clear" w:color="auto" w:fill="FFFFFF"/>
        </w:rPr>
        <w:t>pełnomocnika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wyboru. 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Wynagrodzenie </w:t>
      </w:r>
      <w:r w:rsidR="0075452C">
        <w:rPr>
          <w:rFonts w:ascii="Arial" w:hAnsi="Arial"/>
          <w:sz w:val="22"/>
          <w:szCs w:val="22"/>
          <w:shd w:val="clear" w:color="auto" w:fill="FFFFFF"/>
        </w:rPr>
        <w:t>pełnomocnika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 za </w:t>
      </w:r>
      <w:r w:rsidR="00EC2599" w:rsidRPr="00CC27F9">
        <w:rPr>
          <w:rFonts w:ascii="Arial" w:hAnsi="Arial"/>
          <w:sz w:val="22"/>
          <w:szCs w:val="22"/>
          <w:shd w:val="clear" w:color="auto" w:fill="FFFFFF"/>
        </w:rPr>
        <w:t>reprezentację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EC2599" w:rsidRPr="00CC27F9">
        <w:rPr>
          <w:rFonts w:ascii="Arial" w:hAnsi="Arial"/>
          <w:sz w:val="22"/>
          <w:szCs w:val="22"/>
          <w:shd w:val="clear" w:color="auto" w:fill="FFFFFF"/>
        </w:rPr>
        <w:t>strony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 z urzędu </w:t>
      </w:r>
      <w:r w:rsidRPr="00CC27F9">
        <w:rPr>
          <w:rFonts w:ascii="Arial" w:hAnsi="Arial"/>
          <w:bCs/>
          <w:iCs/>
          <w:sz w:val="22"/>
          <w:szCs w:val="22"/>
        </w:rPr>
        <w:t>(na podstawie §</w:t>
      </w:r>
      <w:r w:rsidR="0075452C">
        <w:rPr>
          <w:rFonts w:ascii="Arial" w:hAnsi="Arial"/>
          <w:bCs/>
          <w:iCs/>
          <w:sz w:val="22"/>
          <w:szCs w:val="22"/>
        </w:rPr>
        <w:t>……………..</w:t>
      </w:r>
      <w:r w:rsidRPr="00CC27F9">
        <w:rPr>
          <w:rFonts w:ascii="Arial" w:hAnsi="Arial"/>
          <w:bCs/>
          <w:iCs/>
          <w:sz w:val="22"/>
          <w:szCs w:val="22"/>
        </w:rPr>
        <w:t xml:space="preserve"> rozporządzenia w sprawie stawek z urzędu) wynosi łącznie </w:t>
      </w:r>
      <w:r w:rsidR="00D2070D">
        <w:rPr>
          <w:rFonts w:ascii="Arial" w:hAnsi="Arial"/>
          <w:bCs/>
          <w:iCs/>
          <w:sz w:val="22"/>
          <w:szCs w:val="22"/>
        </w:rPr>
        <w:t>…………</w:t>
      </w:r>
      <w:r w:rsidRPr="00CC27F9">
        <w:rPr>
          <w:rFonts w:ascii="Arial" w:hAnsi="Arial"/>
          <w:bCs/>
          <w:iCs/>
          <w:sz w:val="22"/>
          <w:szCs w:val="22"/>
        </w:rPr>
        <w:t xml:space="preserve"> złotych za reprezentację </w:t>
      </w:r>
      <w:r w:rsidR="00D2070D">
        <w:rPr>
          <w:rFonts w:ascii="Arial" w:hAnsi="Arial"/>
          <w:bCs/>
          <w:iCs/>
          <w:sz w:val="22"/>
          <w:szCs w:val="22"/>
        </w:rPr>
        <w:t xml:space="preserve">w </w:t>
      </w:r>
      <w:r w:rsidRPr="00CC27F9">
        <w:rPr>
          <w:rFonts w:ascii="Arial" w:hAnsi="Arial"/>
          <w:bCs/>
          <w:iCs/>
          <w:sz w:val="22"/>
          <w:szCs w:val="22"/>
        </w:rPr>
        <w:t>postępowani</w:t>
      </w:r>
      <w:r w:rsidR="00D2070D">
        <w:rPr>
          <w:rFonts w:ascii="Arial" w:hAnsi="Arial"/>
          <w:bCs/>
          <w:iCs/>
          <w:sz w:val="22"/>
          <w:szCs w:val="22"/>
        </w:rPr>
        <w:t>u</w:t>
      </w:r>
      <w:r w:rsidRPr="00CC27F9">
        <w:rPr>
          <w:rFonts w:ascii="Arial" w:hAnsi="Arial"/>
          <w:bCs/>
          <w:iCs/>
          <w:sz w:val="22"/>
          <w:szCs w:val="22"/>
        </w:rPr>
        <w:t xml:space="preserve"> przed Sądem </w:t>
      </w:r>
      <w:r w:rsidR="00FF4B0E">
        <w:rPr>
          <w:rFonts w:ascii="Arial" w:hAnsi="Arial"/>
          <w:bCs/>
          <w:iCs/>
          <w:sz w:val="22"/>
          <w:szCs w:val="22"/>
        </w:rPr>
        <w:t>Rejonowym</w:t>
      </w:r>
      <w:r w:rsidRPr="00CC27F9">
        <w:rPr>
          <w:rFonts w:ascii="Arial" w:hAnsi="Arial"/>
          <w:bCs/>
          <w:iCs/>
          <w:sz w:val="22"/>
          <w:szCs w:val="22"/>
        </w:rPr>
        <w:t xml:space="preserve"> </w:t>
      </w:r>
      <w:r w:rsidR="0048609E">
        <w:rPr>
          <w:rFonts w:ascii="Arial" w:hAnsi="Arial"/>
          <w:bCs/>
          <w:iCs/>
          <w:sz w:val="22"/>
          <w:szCs w:val="22"/>
        </w:rPr>
        <w:t>…………….</w:t>
      </w:r>
      <w:r w:rsidRPr="00CC27F9">
        <w:rPr>
          <w:rFonts w:ascii="Arial" w:hAnsi="Arial"/>
          <w:bCs/>
          <w:iCs/>
          <w:sz w:val="22"/>
          <w:szCs w:val="22"/>
        </w:rPr>
        <w:t xml:space="preserve"> podczas gdy wynagrodzenie minimalne takiego samego </w:t>
      </w:r>
      <w:r w:rsidR="0075452C">
        <w:rPr>
          <w:rFonts w:ascii="Arial" w:hAnsi="Arial"/>
          <w:bCs/>
          <w:iCs/>
          <w:sz w:val="22"/>
          <w:szCs w:val="22"/>
        </w:rPr>
        <w:t>pełnomocnika</w:t>
      </w:r>
      <w:r w:rsidRPr="00CC27F9">
        <w:rPr>
          <w:rFonts w:ascii="Arial" w:hAnsi="Arial"/>
          <w:bCs/>
          <w:iCs/>
          <w:sz w:val="22"/>
          <w:szCs w:val="22"/>
        </w:rPr>
        <w:t xml:space="preserve">, pełniącego rolę w postępowaniu sądowym „z wyboru” to kwota </w:t>
      </w:r>
      <w:r w:rsidR="0048609E">
        <w:rPr>
          <w:rFonts w:ascii="Arial" w:hAnsi="Arial"/>
          <w:bCs/>
          <w:iCs/>
          <w:sz w:val="22"/>
          <w:szCs w:val="22"/>
        </w:rPr>
        <w:t>…………………..</w:t>
      </w:r>
      <w:r w:rsidR="00FF4B0E">
        <w:rPr>
          <w:rFonts w:ascii="Arial" w:hAnsi="Arial"/>
          <w:bCs/>
          <w:iCs/>
          <w:sz w:val="22"/>
          <w:szCs w:val="22"/>
        </w:rPr>
        <w:t xml:space="preserve">. </w:t>
      </w:r>
    </w:p>
    <w:p w14:paraId="260C8E63" w14:textId="77777777" w:rsidR="00FF4B0E" w:rsidRDefault="00FF4B0E" w:rsidP="00A3732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5A452E89" w14:textId="059657DC" w:rsidR="00A37329" w:rsidRPr="00CC27F9" w:rsidRDefault="00A37329" w:rsidP="00A37329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  <w:r w:rsidRPr="00CC27F9">
        <w:rPr>
          <w:rFonts w:ascii="Arial" w:hAnsi="Arial"/>
          <w:bCs/>
          <w:iCs/>
          <w:sz w:val="22"/>
          <w:szCs w:val="22"/>
        </w:rPr>
        <w:t xml:space="preserve">Przy czym zaznaczyć należy, że stawki określone w rozporządzeniu w sprawie stawek </w:t>
      </w:r>
      <w:r w:rsidR="00D2070D">
        <w:rPr>
          <w:rFonts w:ascii="Arial" w:hAnsi="Arial"/>
          <w:bCs/>
          <w:iCs/>
          <w:sz w:val="22"/>
          <w:szCs w:val="22"/>
        </w:rPr>
        <w:br/>
        <w:t>z</w:t>
      </w:r>
      <w:r w:rsidRPr="00CC27F9">
        <w:rPr>
          <w:rFonts w:ascii="Arial" w:hAnsi="Arial"/>
          <w:bCs/>
          <w:iCs/>
          <w:sz w:val="22"/>
          <w:szCs w:val="22"/>
        </w:rPr>
        <w:t xml:space="preserve"> wyboru stanowią </w:t>
      </w:r>
      <w:r w:rsidRPr="00CC27F9">
        <w:rPr>
          <w:rFonts w:ascii="Arial" w:hAnsi="Arial"/>
          <w:b/>
          <w:iCs/>
          <w:sz w:val="22"/>
          <w:szCs w:val="22"/>
        </w:rPr>
        <w:t>kwoty</w:t>
      </w:r>
      <w:r w:rsidRPr="00CC27F9">
        <w:rPr>
          <w:rFonts w:ascii="Arial" w:hAnsi="Arial"/>
          <w:bCs/>
          <w:iCs/>
          <w:sz w:val="22"/>
          <w:szCs w:val="22"/>
        </w:rPr>
        <w:t xml:space="preserve"> </w:t>
      </w:r>
      <w:r w:rsidRPr="00CC27F9">
        <w:rPr>
          <w:rFonts w:ascii="Arial" w:hAnsi="Arial"/>
          <w:b/>
          <w:iCs/>
          <w:sz w:val="22"/>
          <w:szCs w:val="22"/>
        </w:rPr>
        <w:t>minimalne</w:t>
      </w:r>
      <w:r w:rsidRPr="00CC27F9">
        <w:rPr>
          <w:rFonts w:ascii="Arial" w:hAnsi="Arial"/>
          <w:bCs/>
          <w:iCs/>
          <w:sz w:val="22"/>
          <w:szCs w:val="22"/>
        </w:rPr>
        <w:t xml:space="preserve">. </w:t>
      </w:r>
      <w:r w:rsidRPr="00CC27F9">
        <w:rPr>
          <w:rFonts w:ascii="Arial" w:hAnsi="Arial"/>
          <w:b/>
          <w:iCs/>
          <w:sz w:val="22"/>
          <w:szCs w:val="22"/>
        </w:rPr>
        <w:t xml:space="preserve">Oznacza to, że z nieznanych ustawie oraz Konstytucji RP powodów – „klient” w rozumieniu Skarbu Państwa jest premiowany względem każdej innej osoby. </w:t>
      </w:r>
      <w:r w:rsidRPr="00CC27F9">
        <w:rPr>
          <w:rFonts w:ascii="Arial" w:hAnsi="Arial"/>
          <w:bCs/>
          <w:iCs/>
          <w:sz w:val="22"/>
          <w:szCs w:val="22"/>
        </w:rPr>
        <w:t>Podobne dysproporcje występują w każdym innym rodzaju postępowań w zakresie spraw karnych.</w:t>
      </w:r>
      <w:r w:rsidR="002D6F2E" w:rsidRPr="00CC27F9">
        <w:rPr>
          <w:rFonts w:ascii="Arial" w:hAnsi="Arial"/>
          <w:bCs/>
          <w:iCs/>
          <w:sz w:val="22"/>
          <w:szCs w:val="22"/>
        </w:rPr>
        <w:t xml:space="preserve"> </w:t>
      </w:r>
    </w:p>
    <w:p w14:paraId="2B17143D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2F70332A" w14:textId="5A359A3E" w:rsidR="00A37329" w:rsidRPr="00CC27F9" w:rsidRDefault="00A37329" w:rsidP="00A37329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  <w:r w:rsidRPr="00CC27F9">
        <w:rPr>
          <w:rFonts w:ascii="Arial" w:hAnsi="Arial"/>
          <w:bCs/>
          <w:iCs/>
          <w:sz w:val="22"/>
          <w:szCs w:val="22"/>
        </w:rPr>
        <w:t xml:space="preserve">Jak zaznaczono w dotychczasowym orzecznictwie sądowym odnoszącym się do regulacji stawek z urzędu </w:t>
      </w:r>
      <w:r w:rsidRPr="00CC27F9">
        <w:rPr>
          <w:rFonts w:ascii="Arial" w:hAnsi="Arial"/>
          <w:b/>
          <w:iCs/>
          <w:sz w:val="22"/>
          <w:szCs w:val="22"/>
        </w:rPr>
        <w:t xml:space="preserve">nie istnieją racje prawne przemawiające za różnicowaniem stawek wynagrodzenia pomiędzy </w:t>
      </w:r>
      <w:r w:rsidR="0075452C">
        <w:rPr>
          <w:rFonts w:ascii="Arial" w:hAnsi="Arial"/>
          <w:b/>
          <w:iCs/>
          <w:sz w:val="22"/>
          <w:szCs w:val="22"/>
        </w:rPr>
        <w:t>pełnomocnikami</w:t>
      </w:r>
      <w:r w:rsidRPr="00CC27F9">
        <w:rPr>
          <w:rFonts w:ascii="Arial" w:hAnsi="Arial"/>
          <w:b/>
          <w:iCs/>
          <w:sz w:val="22"/>
          <w:szCs w:val="22"/>
        </w:rPr>
        <w:t xml:space="preserve"> z tego tylko powodu, że źródła ich umocowań dla reprezentacji stron postępowań sądowych, w odniesieniu do mandatariuszy z wyboru i z urzędu są różne. Takie zróżnicowanie byłoby sprzeczne z przepisami Ustawy Zasadniczej</w:t>
      </w:r>
      <w:r w:rsidRPr="00CC27F9">
        <w:rPr>
          <w:rFonts w:ascii="Arial" w:hAnsi="Arial"/>
          <w:bCs/>
          <w:iCs/>
          <w:sz w:val="22"/>
          <w:szCs w:val="22"/>
        </w:rPr>
        <w:t xml:space="preserve"> (tak: wyrok SA w Krakowie z dnia 26 lutego 2021 roku, I ACa 39/21). </w:t>
      </w:r>
    </w:p>
    <w:p w14:paraId="7E67A546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</w:p>
    <w:p w14:paraId="4FE87D87" w14:textId="211C0F21" w:rsidR="00A3732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Porównanie treści rozporządzeń Ministra Sprawiedliwości w sprawie stawek „z urzędu” </w:t>
      </w:r>
      <w:r w:rsidRPr="00CC27F9">
        <w:rPr>
          <w:rFonts w:ascii="Arial" w:hAnsi="Arial"/>
          <w:sz w:val="22"/>
          <w:szCs w:val="22"/>
          <w:shd w:val="clear" w:color="auto" w:fill="FFFFFF"/>
        </w:rPr>
        <w:br/>
        <w:t xml:space="preserve">oraz stawek „z wyboru” pozwala stwierdzić, iż pomimo zmiany literalnej treści </w:t>
      </w:r>
      <w:r w:rsidRPr="00CC27F9">
        <w:rPr>
          <w:rFonts w:ascii="Arial" w:eastAsia="Times New Roman" w:hAnsi="Arial"/>
          <w:sz w:val="22"/>
          <w:szCs w:val="22"/>
        </w:rPr>
        <w:t xml:space="preserve">§4 ust. 1 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rozporządzenia treść normatywna wskazanego przepisu pozostaje niezmieniona. </w:t>
      </w:r>
      <w:r w:rsidRPr="00CC27F9">
        <w:rPr>
          <w:rFonts w:ascii="Arial" w:hAnsi="Arial"/>
          <w:sz w:val="22"/>
          <w:szCs w:val="22"/>
          <w:shd w:val="clear" w:color="auto" w:fill="FFFFFF"/>
        </w:rPr>
        <w:br/>
        <w:t xml:space="preserve">Jak dowodził Sąd Najwyższy w wyroku z dnia 17 marca 2016 roku (sygn. akt. </w:t>
      </w:r>
      <w:r w:rsidRPr="00CC27F9">
        <w:rPr>
          <w:rFonts w:ascii="Arial" w:hAnsi="Arial"/>
          <w:sz w:val="22"/>
          <w:szCs w:val="22"/>
        </w:rPr>
        <w:t xml:space="preserve">V CSK 377/15)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niezgodność z Konstytucją dotyczy określonej normy prawnej, którą przepis wyraża,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br/>
        <w:t>a nie jednostek redakcyjnych, pełniących wyłącznie rolę porządkującą wewnątrz aktu prawnego, w którym się znajduje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. </w:t>
      </w:r>
      <w:r w:rsidRPr="00CC27F9">
        <w:rPr>
          <w:rFonts w:ascii="Arial" w:hAnsi="Arial"/>
          <w:b/>
          <w:bCs/>
          <w:sz w:val="22"/>
          <w:szCs w:val="22"/>
          <w:u w:val="single"/>
          <w:shd w:val="clear" w:color="auto" w:fill="FFFFFF"/>
        </w:rPr>
        <w:t>Powinnością ustawodawcy jest przepis ten z ustawy usunąć wraz z ogłoszeniem wyroku Trybunału, gdyż w przeciwnym wypadku doszłoby się do karkołomnego wniosku o możliwości dowolnego zmieniania numeracji przepisów w ustawach, np. w razie tworzenia tekstu jednolitego i omijania w ten sposób (nie wykonywania) wyroków Trybunału Konstytucyjnego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. Za zbędną powinno się uznać </w:t>
      </w:r>
      <w:r w:rsidRPr="00CC27F9">
        <w:rPr>
          <w:rFonts w:ascii="Arial" w:hAnsi="Arial"/>
          <w:sz w:val="22"/>
          <w:szCs w:val="22"/>
          <w:shd w:val="clear" w:color="auto" w:fill="FFFFFF"/>
        </w:rPr>
        <w:lastRenderedPageBreak/>
        <w:t>potrzebę powtórnego rozpatrywania przez Trybunał zgodności (…) z Konstytucją, skoro przepis ten, co do kwestii, z powodu której orzeczona została jego niekonstytucyjność, się nie zmienił.</w:t>
      </w:r>
    </w:p>
    <w:p w14:paraId="4C7D2AD2" w14:textId="77777777" w:rsidR="00FF4B0E" w:rsidRPr="00CC27F9" w:rsidRDefault="00FF4B0E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03EFB96D" w14:textId="6FCC7C7E" w:rsidR="00A37329" w:rsidRPr="00CC27F9" w:rsidRDefault="00A37329" w:rsidP="00A37329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  <w:shd w:val="clear" w:color="auto" w:fill="FFFFFF"/>
        </w:rPr>
        <w:t>Według rozporządzenia Ministra Sprawiedliwości „w sprawie stawek z urzędu” z dnia</w:t>
      </w:r>
      <w:r w:rsidRPr="00CC27F9">
        <w:rPr>
          <w:rFonts w:ascii="Arial" w:hAnsi="Arial"/>
          <w:sz w:val="22"/>
          <w:szCs w:val="22"/>
          <w:shd w:val="clear" w:color="auto" w:fill="FFFFFF"/>
        </w:rPr>
        <w:br/>
      </w:r>
      <w:r w:rsidRPr="00CC27F9">
        <w:rPr>
          <w:rFonts w:ascii="Arial" w:hAnsi="Arial"/>
          <w:bCs/>
          <w:iCs/>
          <w:sz w:val="22"/>
          <w:szCs w:val="22"/>
        </w:rPr>
        <w:t>3 października 2016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,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stawki wynagrodzenia na rzecz </w:t>
      </w:r>
      <w:r w:rsidR="0075452C">
        <w:rPr>
          <w:rFonts w:ascii="Arial" w:hAnsi="Arial"/>
          <w:b/>
          <w:bCs/>
          <w:sz w:val="22"/>
          <w:szCs w:val="22"/>
          <w:shd w:val="clear" w:color="auto" w:fill="FFFFFF"/>
        </w:rPr>
        <w:t>pełnomocników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urzędu pozostają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br/>
      </w:r>
      <w:r w:rsidR="0075452C">
        <w:rPr>
          <w:rFonts w:ascii="Arial" w:hAnsi="Arial"/>
          <w:b/>
          <w:bCs/>
          <w:sz w:val="22"/>
          <w:szCs w:val="22"/>
          <w:shd w:val="clear" w:color="auto" w:fill="FFFFFF"/>
        </w:rPr>
        <w:t>niższe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w stosunku do stawek określonych w rozporządzeniu określającym stawki wynagrodzenia na rzecz </w:t>
      </w:r>
      <w:r w:rsidR="0075452C">
        <w:rPr>
          <w:rFonts w:ascii="Arial" w:hAnsi="Arial"/>
          <w:b/>
          <w:bCs/>
          <w:sz w:val="22"/>
          <w:szCs w:val="22"/>
          <w:shd w:val="clear" w:color="auto" w:fill="FFFFFF"/>
        </w:rPr>
        <w:t>pełnomocników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wyboru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. Powyższe przesądza zatem, że również </w:t>
      </w:r>
      <w:r w:rsidRPr="00CC27F9">
        <w:rPr>
          <w:rFonts w:ascii="Arial" w:eastAsia="Times New Roman" w:hAnsi="Arial"/>
          <w:sz w:val="22"/>
          <w:szCs w:val="22"/>
        </w:rPr>
        <w:t>§</w:t>
      </w:r>
      <w:r w:rsidR="00D72775">
        <w:rPr>
          <w:rFonts w:ascii="Arial" w:eastAsia="Times New Roman" w:hAnsi="Arial"/>
          <w:sz w:val="22"/>
          <w:szCs w:val="22"/>
        </w:rPr>
        <w:t xml:space="preserve"> 2 pkt. 1 w zw. z </w:t>
      </w:r>
      <w:r w:rsidR="00D72775" w:rsidRPr="00CC27F9">
        <w:rPr>
          <w:rFonts w:ascii="Arial" w:eastAsia="Times New Roman" w:hAnsi="Arial"/>
          <w:sz w:val="22"/>
          <w:szCs w:val="22"/>
        </w:rPr>
        <w:t>§</w:t>
      </w:r>
      <w:r w:rsidR="00D72775">
        <w:rPr>
          <w:rFonts w:ascii="Arial" w:eastAsia="Times New Roman" w:hAnsi="Arial"/>
          <w:sz w:val="22"/>
          <w:szCs w:val="22"/>
        </w:rPr>
        <w:t xml:space="preserve"> </w:t>
      </w:r>
      <w:r w:rsidRPr="00CC27F9">
        <w:rPr>
          <w:rFonts w:ascii="Arial" w:eastAsia="Times New Roman" w:hAnsi="Arial"/>
          <w:sz w:val="22"/>
          <w:szCs w:val="22"/>
        </w:rPr>
        <w:t>4 ust. 1 rozporządzenia Ministra Sprawiedliwości z dnia 3 października 2016 roku, w zakresie w jakim różnicuje stawki „z urzędu” oraz stawki „z wyboru” pozostaje sprzeczny z normami wyrażonymi w Konstytucji Rzeczypospolitej Polskiej, w ten sam sposób co do którego wypowiadał się uprzednio Trybunał Konstytucyjny</w:t>
      </w:r>
      <w:r w:rsidR="00870566" w:rsidRPr="00CC27F9">
        <w:rPr>
          <w:rFonts w:ascii="Arial" w:eastAsia="Times New Roman" w:hAnsi="Arial"/>
          <w:sz w:val="22"/>
          <w:szCs w:val="22"/>
        </w:rPr>
        <w:t>.</w:t>
      </w:r>
    </w:p>
    <w:p w14:paraId="1EA92BDE" w14:textId="77777777" w:rsidR="00A37329" w:rsidRPr="00CC27F9" w:rsidRDefault="00A37329" w:rsidP="00A37329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5B04B000" w14:textId="118E2D1F" w:rsidR="00A37329" w:rsidRPr="00CC27F9" w:rsidRDefault="00A37329" w:rsidP="00A3732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t xml:space="preserve">Podkreślenia wymaga, że </w:t>
      </w:r>
      <w:r w:rsidRPr="00CC27F9">
        <w:rPr>
          <w:rFonts w:ascii="Arial" w:hAnsi="Arial"/>
          <w:sz w:val="22"/>
          <w:szCs w:val="22"/>
        </w:rPr>
        <w:t xml:space="preserve">akt rangi ustawowej tj. art. 29 ustawy z dnia 26 maja 1982 roku - Prawo o adwokaturze, nie zawiera upoważnienia dla aktu wykonawczego pozwalającego na odmienne ukształtowanie wynagrodzeń </w:t>
      </w:r>
      <w:r w:rsidR="0075452C">
        <w:rPr>
          <w:rFonts w:ascii="Arial" w:hAnsi="Arial"/>
          <w:sz w:val="22"/>
          <w:szCs w:val="22"/>
        </w:rPr>
        <w:t>pełnomocników</w:t>
      </w:r>
      <w:r w:rsidRPr="00CC27F9">
        <w:rPr>
          <w:rFonts w:ascii="Arial" w:hAnsi="Arial"/>
          <w:sz w:val="22"/>
          <w:szCs w:val="22"/>
        </w:rPr>
        <w:t xml:space="preserve"> w zależności od tego, czy działają oni </w:t>
      </w:r>
      <w:r w:rsidR="00870566" w:rsidRPr="00CC27F9">
        <w:rPr>
          <w:rFonts w:ascii="Arial" w:hAnsi="Arial"/>
          <w:sz w:val="22"/>
          <w:szCs w:val="22"/>
        </w:rPr>
        <w:br/>
      </w:r>
      <w:r w:rsidRPr="00CC27F9">
        <w:rPr>
          <w:rFonts w:ascii="Arial" w:hAnsi="Arial"/>
          <w:sz w:val="22"/>
          <w:szCs w:val="22"/>
        </w:rPr>
        <w:t>z wyboru, czy też zostali ustanowienie z urzędu. Tymczasem brak jest jakichkolwiek racjonalnych argumentów, które uzasadniałoby dyskryminujące traktowanie pewnej grupy adwokatów, zwłaszcza, że takiego upoważnienia ustawowego nie można wywieźć z wykładni celowościowej (funkcjonalnej). Odstępstwa od dyrektywy równości, w tym również ochrony praw majątkowych, jest więc niedopuszczalne.</w:t>
      </w:r>
    </w:p>
    <w:p w14:paraId="5DE0CD5C" w14:textId="4A2F95B5" w:rsidR="00A37329" w:rsidRPr="00CC27F9" w:rsidRDefault="00A37329" w:rsidP="00A3732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540B0C4" w14:textId="320273C6" w:rsidR="00585981" w:rsidRPr="00CC27F9" w:rsidRDefault="00585981" w:rsidP="0058598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W załączeniu do niniejszego wniosku </w:t>
      </w:r>
      <w:r w:rsidR="0075452C">
        <w:rPr>
          <w:rFonts w:ascii="Arial" w:hAnsi="Arial"/>
          <w:sz w:val="22"/>
          <w:szCs w:val="22"/>
        </w:rPr>
        <w:t>pełnomocnik</w:t>
      </w:r>
      <w:r w:rsidRPr="00CC27F9">
        <w:rPr>
          <w:rFonts w:ascii="Arial" w:hAnsi="Arial"/>
          <w:sz w:val="22"/>
          <w:szCs w:val="22"/>
        </w:rPr>
        <w:t xml:space="preserve"> przedkłada </w:t>
      </w:r>
      <w:r w:rsidRPr="00CC27F9">
        <w:rPr>
          <w:rFonts w:ascii="Arial" w:hAnsi="Arial"/>
          <w:b/>
          <w:bCs/>
          <w:sz w:val="22"/>
          <w:szCs w:val="22"/>
        </w:rPr>
        <w:t>wykaz orzecznictwa</w:t>
      </w:r>
      <w:r w:rsidRPr="00CC27F9">
        <w:rPr>
          <w:rFonts w:ascii="Arial" w:hAnsi="Arial"/>
          <w:sz w:val="22"/>
          <w:szCs w:val="22"/>
        </w:rPr>
        <w:t xml:space="preserve"> Sadu Najwyższego oraz Sądów Powszechnych odnoszący się do powinności przyznawania stawek </w:t>
      </w:r>
      <w:r w:rsidR="0075452C">
        <w:rPr>
          <w:rFonts w:ascii="Arial" w:hAnsi="Arial"/>
          <w:sz w:val="22"/>
          <w:szCs w:val="22"/>
        </w:rPr>
        <w:t>pełnomocnikom</w:t>
      </w:r>
      <w:r w:rsidRPr="00CC27F9">
        <w:rPr>
          <w:rFonts w:ascii="Arial" w:hAnsi="Arial"/>
          <w:sz w:val="22"/>
          <w:szCs w:val="22"/>
        </w:rPr>
        <w:t xml:space="preserve"> z urzędu według rozporządzenia „z wyboru” oraz uwzględniający postulat sprzeczności obecnie obowiązującego rozporządzenia w sprawie stawek z urzędu z normą konstytucyjną.</w:t>
      </w:r>
    </w:p>
    <w:p w14:paraId="7F0286EC" w14:textId="77777777" w:rsidR="00F05E20" w:rsidRDefault="00F05E20" w:rsidP="00A3732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81C2F3C" w14:textId="1C5ADEE1" w:rsidR="00EC2599" w:rsidRPr="00CC27F9" w:rsidRDefault="00EC2599" w:rsidP="00A37329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W zakresie zarzutu dotyczącego odmowy zastosowania </w:t>
      </w:r>
      <w:r w:rsidRPr="00CC27F9">
        <w:rPr>
          <w:rFonts w:ascii="Arial" w:eastAsia="Times New Roman" w:hAnsi="Arial"/>
          <w:sz w:val="22"/>
          <w:szCs w:val="22"/>
        </w:rPr>
        <w:t xml:space="preserve">§4 ust. 2 pkt 1 </w:t>
      </w:r>
      <w:r w:rsidR="00FF4B0E" w:rsidRPr="00FF4B0E">
        <w:rPr>
          <w:rFonts w:ascii="Arial" w:eastAsia="Times New Roman" w:hAnsi="Arial"/>
          <w:sz w:val="22"/>
          <w:szCs w:val="22"/>
        </w:rPr>
        <w:t xml:space="preserve">w zw. z </w:t>
      </w:r>
      <w:r w:rsidR="00FF4B0E" w:rsidRPr="00FF4B0E">
        <w:rPr>
          <w:rFonts w:ascii="Arial" w:hAnsi="Arial"/>
          <w:iCs/>
          <w:sz w:val="22"/>
          <w:szCs w:val="22"/>
        </w:rPr>
        <w:t xml:space="preserve">§ 17 ust. 1 pkt ….. oraz § 17 ust. 2 pkt 3 </w:t>
      </w:r>
      <w:r w:rsidRPr="00FF4B0E">
        <w:rPr>
          <w:rFonts w:ascii="Arial" w:eastAsia="Times New Roman" w:hAnsi="Arial"/>
          <w:sz w:val="22"/>
          <w:szCs w:val="22"/>
        </w:rPr>
        <w:t>rozporzą</w:t>
      </w:r>
      <w:r w:rsidRPr="00CC27F9">
        <w:rPr>
          <w:rFonts w:ascii="Arial" w:eastAsia="Times New Roman" w:hAnsi="Arial"/>
          <w:sz w:val="22"/>
          <w:szCs w:val="22"/>
        </w:rPr>
        <w:t>dzenia Ministra Sprawiedliwości z dnia 3 października 2016 roku w pełni aktualne pozostają rozważania wyrażone</w:t>
      </w:r>
      <w:r w:rsidR="007D7BF6" w:rsidRPr="00CC27F9">
        <w:rPr>
          <w:rFonts w:ascii="Arial" w:eastAsia="Times New Roman" w:hAnsi="Arial"/>
          <w:sz w:val="22"/>
          <w:szCs w:val="22"/>
        </w:rPr>
        <w:t xml:space="preserve"> w dotychczasowych stanowiskach, </w:t>
      </w:r>
      <w:r w:rsidR="00687472">
        <w:rPr>
          <w:rFonts w:ascii="Arial" w:eastAsia="Times New Roman" w:hAnsi="Arial"/>
          <w:sz w:val="22"/>
          <w:szCs w:val="22"/>
        </w:rPr>
        <w:br/>
      </w:r>
      <w:r w:rsidR="007D7BF6" w:rsidRPr="00CC27F9">
        <w:rPr>
          <w:rFonts w:ascii="Arial" w:eastAsia="Times New Roman" w:hAnsi="Arial"/>
          <w:sz w:val="22"/>
          <w:szCs w:val="22"/>
        </w:rPr>
        <w:t>w szczególności w zażaleniu na środek zabezpieczający.</w:t>
      </w:r>
    </w:p>
    <w:p w14:paraId="7A6B4872" w14:textId="00C73587" w:rsidR="00EC2599" w:rsidRPr="00CC27F9" w:rsidRDefault="00EC2599" w:rsidP="00A37329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14:paraId="2C538EBE" w14:textId="6AA20D30" w:rsidR="00EC2599" w:rsidRDefault="00EC2599" w:rsidP="00EC2599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  <w:r w:rsidRPr="00CC27F9">
        <w:rPr>
          <w:rFonts w:ascii="Arial" w:hAnsi="Arial"/>
          <w:bCs/>
          <w:iCs/>
          <w:sz w:val="22"/>
          <w:szCs w:val="22"/>
        </w:rPr>
        <w:t xml:space="preserve">Wskazuje, iż podczas gdy obecnie obowiązującą regulacją jest rozporządzenie </w:t>
      </w:r>
      <w:r w:rsidRPr="00CC27F9">
        <w:rPr>
          <w:rFonts w:ascii="Arial" w:hAnsi="Arial"/>
          <w:bCs/>
          <w:sz w:val="22"/>
          <w:szCs w:val="22"/>
        </w:rPr>
        <w:t xml:space="preserve">Ministra Sprawiedliwości z dnia 3 października 2016 roku w sprawie ponoszenia przez Skarb Państwa kosztów nieopłaconej pomocy prawnej udzielonej przez adwokata z urzędu, tak też określona </w:t>
      </w:r>
      <w:r w:rsidRPr="00CC27F9">
        <w:rPr>
          <w:rFonts w:ascii="Arial" w:hAnsi="Arial"/>
          <w:b/>
          <w:bCs/>
          <w:sz w:val="22"/>
          <w:szCs w:val="22"/>
        </w:rPr>
        <w:t xml:space="preserve">stawka jest identyczna jak w rozporządzeniu Ministra Sprawiedliwości w sprawie opłat za czynności adwokackie oraz ponoszenia przez Skarb Państwa kosztów nieopłaconej </w:t>
      </w:r>
      <w:r w:rsidRPr="00CC27F9">
        <w:rPr>
          <w:rFonts w:ascii="Arial" w:hAnsi="Arial"/>
          <w:b/>
          <w:bCs/>
          <w:sz w:val="22"/>
          <w:szCs w:val="22"/>
        </w:rPr>
        <w:lastRenderedPageBreak/>
        <w:t xml:space="preserve">pomocy prawnej udzielonej z urzędu z dnia 28 września 2002 roku. </w:t>
      </w:r>
      <w:r w:rsidRPr="00CC27F9">
        <w:rPr>
          <w:rFonts w:ascii="Arial" w:hAnsi="Arial"/>
          <w:bCs/>
          <w:sz w:val="22"/>
          <w:szCs w:val="22"/>
        </w:rPr>
        <w:t xml:space="preserve">Według </w:t>
      </w:r>
      <w:r w:rsidR="0075452C">
        <w:rPr>
          <w:rFonts w:ascii="Arial" w:hAnsi="Arial"/>
          <w:bCs/>
          <w:sz w:val="22"/>
          <w:szCs w:val="22"/>
        </w:rPr>
        <w:t>………………..</w:t>
      </w:r>
      <w:r w:rsidRPr="00CC27F9">
        <w:rPr>
          <w:rFonts w:ascii="Arial" w:hAnsi="Arial"/>
          <w:bCs/>
          <w:sz w:val="22"/>
          <w:szCs w:val="22"/>
        </w:rPr>
        <w:t xml:space="preserve"> rozporządzenia z 2002 roku stawka za reprezentowanie </w:t>
      </w:r>
      <w:r w:rsidR="0075452C">
        <w:rPr>
          <w:rFonts w:ascii="Arial" w:hAnsi="Arial"/>
          <w:bCs/>
          <w:sz w:val="22"/>
          <w:szCs w:val="22"/>
        </w:rPr>
        <w:t>strony</w:t>
      </w:r>
      <w:r w:rsidRPr="00CC27F9">
        <w:rPr>
          <w:rFonts w:ascii="Arial" w:hAnsi="Arial"/>
          <w:bCs/>
          <w:sz w:val="22"/>
          <w:szCs w:val="22"/>
        </w:rPr>
        <w:t xml:space="preserve"> została także określona w stawce </w:t>
      </w:r>
      <w:r w:rsidR="0075452C">
        <w:rPr>
          <w:rFonts w:ascii="Arial" w:hAnsi="Arial"/>
          <w:bCs/>
          <w:sz w:val="22"/>
          <w:szCs w:val="22"/>
        </w:rPr>
        <w:t>……………….</w:t>
      </w:r>
      <w:r w:rsidRPr="00CC27F9">
        <w:rPr>
          <w:rFonts w:ascii="Arial" w:hAnsi="Arial"/>
          <w:bCs/>
          <w:sz w:val="22"/>
          <w:szCs w:val="22"/>
        </w:rPr>
        <w:t xml:space="preserve"> za </w:t>
      </w:r>
      <w:r w:rsidR="0075452C">
        <w:rPr>
          <w:rFonts w:ascii="Arial" w:hAnsi="Arial"/>
          <w:bCs/>
          <w:sz w:val="22"/>
          <w:szCs w:val="22"/>
        </w:rPr>
        <w:t>całe postępowanie.</w:t>
      </w:r>
    </w:p>
    <w:p w14:paraId="1E1DFC9B" w14:textId="77777777" w:rsidR="008F5FD8" w:rsidRPr="00CC27F9" w:rsidRDefault="008F5FD8" w:rsidP="00EC259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2E6AA4CE" w14:textId="30077B1C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Od ustalenia wysokości stawki, która powinna być adekwatna do nakładu pracy adwokata, minęło zatem 19 lat, natomiast stawki wynagrodzenia pozostają w dalszym ciągu tożsame, pomimo ogromnej zmiany wartości pieniądza w tym czasie. </w:t>
      </w:r>
    </w:p>
    <w:p w14:paraId="4C414F86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094959C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Nadmienię tylko, iż:</w:t>
      </w:r>
    </w:p>
    <w:p w14:paraId="13537EB5" w14:textId="77777777" w:rsidR="008500AB" w:rsidRPr="00CC27F9" w:rsidRDefault="008500AB" w:rsidP="008500A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zgodnie z istniejącymi wskaźnikami wartość inflacji od roku 2002, wg wskaźników GUS to łącznie około </w:t>
      </w:r>
      <w:r w:rsidRPr="00CC27F9">
        <w:rPr>
          <w:rFonts w:ascii="Arial" w:hAnsi="Arial"/>
          <w:b/>
          <w:bCs/>
          <w:sz w:val="22"/>
          <w:szCs w:val="22"/>
        </w:rPr>
        <w:t>46,52 %</w:t>
      </w:r>
      <w:r>
        <w:rPr>
          <w:rFonts w:ascii="Arial" w:hAnsi="Arial"/>
          <w:b/>
          <w:bCs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przy czym wskaźnik inflacji za ostatnie miesiące 2021 roku to prawie 8%;</w:t>
      </w:r>
    </w:p>
    <w:p w14:paraId="0530A958" w14:textId="77777777" w:rsidR="008500AB" w:rsidRPr="00CC27F9" w:rsidRDefault="008500AB" w:rsidP="008500A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minimalne wynagrodzenie w 2002 r wynosiło </w:t>
      </w:r>
      <w:r w:rsidRPr="00CC27F9">
        <w:rPr>
          <w:rFonts w:ascii="Arial" w:hAnsi="Arial"/>
          <w:b/>
          <w:bCs/>
          <w:sz w:val="22"/>
          <w:szCs w:val="22"/>
        </w:rPr>
        <w:t>760 zł brutto</w:t>
      </w:r>
      <w:r w:rsidRPr="00CC27F9">
        <w:rPr>
          <w:rFonts w:ascii="Arial" w:hAnsi="Arial"/>
          <w:sz w:val="22"/>
          <w:szCs w:val="22"/>
        </w:rPr>
        <w:t xml:space="preserve">, podczas gdy obecnie minimalne wynagrodzenie wynosi </w:t>
      </w:r>
      <w:r>
        <w:rPr>
          <w:rFonts w:ascii="Arial" w:hAnsi="Arial"/>
          <w:b/>
          <w:bCs/>
          <w:sz w:val="22"/>
          <w:szCs w:val="22"/>
        </w:rPr>
        <w:t>3 010</w:t>
      </w:r>
      <w:r w:rsidRPr="00CC27F9">
        <w:rPr>
          <w:rFonts w:ascii="Arial" w:hAnsi="Arial"/>
          <w:b/>
          <w:bCs/>
          <w:sz w:val="22"/>
          <w:szCs w:val="22"/>
        </w:rPr>
        <w:t xml:space="preserve"> zł brutto; </w:t>
      </w:r>
      <w:r w:rsidRPr="00CC27F9">
        <w:rPr>
          <w:rFonts w:ascii="Arial" w:hAnsi="Arial"/>
          <w:sz w:val="22"/>
          <w:szCs w:val="22"/>
        </w:rPr>
        <w:t xml:space="preserve">tj. wzrost o </w:t>
      </w:r>
      <w:r w:rsidRPr="00CC27F9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>96</w:t>
      </w:r>
      <w:r w:rsidRPr="00CC27F9">
        <w:rPr>
          <w:rFonts w:ascii="Arial" w:hAnsi="Arial"/>
          <w:b/>
          <w:bCs/>
          <w:sz w:val="22"/>
          <w:szCs w:val="22"/>
        </w:rPr>
        <w:t>%</w:t>
      </w:r>
      <w:r w:rsidRPr="00CC27F9">
        <w:rPr>
          <w:rFonts w:ascii="Arial" w:hAnsi="Arial"/>
          <w:sz w:val="22"/>
          <w:szCs w:val="22"/>
        </w:rPr>
        <w:t>;</w:t>
      </w:r>
    </w:p>
    <w:p w14:paraId="36DD424D" w14:textId="77777777" w:rsidR="008500AB" w:rsidRPr="00CC27F9" w:rsidRDefault="008500AB" w:rsidP="008500A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przeciętne wynagrodzenie w 2002 r. wynosiło </w:t>
      </w:r>
      <w:r w:rsidRPr="00CC27F9">
        <w:rPr>
          <w:rFonts w:ascii="Arial" w:hAnsi="Arial"/>
          <w:b/>
          <w:bCs/>
          <w:sz w:val="22"/>
          <w:szCs w:val="22"/>
        </w:rPr>
        <w:t>2 133,21 zł</w:t>
      </w:r>
      <w:r w:rsidRPr="00CC27F9">
        <w:rPr>
          <w:rFonts w:ascii="Arial" w:hAnsi="Arial"/>
          <w:sz w:val="22"/>
          <w:szCs w:val="22"/>
        </w:rPr>
        <w:t xml:space="preserve">, podczas gdy obecnie przeciętne wynagrodzenie wynosi </w:t>
      </w:r>
      <w:r w:rsidRPr="00CC27F9">
        <w:rPr>
          <w:rFonts w:ascii="Arial" w:hAnsi="Arial"/>
          <w:b/>
          <w:bCs/>
          <w:sz w:val="22"/>
          <w:szCs w:val="22"/>
        </w:rPr>
        <w:t>5 </w:t>
      </w:r>
      <w:r>
        <w:rPr>
          <w:rFonts w:ascii="Arial" w:hAnsi="Arial"/>
          <w:b/>
          <w:bCs/>
          <w:sz w:val="22"/>
          <w:szCs w:val="22"/>
        </w:rPr>
        <w:t>922</w:t>
      </w:r>
      <w:r w:rsidRPr="00CC27F9">
        <w:rPr>
          <w:rFonts w:ascii="Arial" w:hAnsi="Arial"/>
          <w:b/>
          <w:bCs/>
          <w:sz w:val="22"/>
          <w:szCs w:val="22"/>
        </w:rPr>
        <w:t xml:space="preserve"> zł </w:t>
      </w:r>
      <w:r w:rsidRPr="00CC27F9">
        <w:rPr>
          <w:rFonts w:ascii="Arial" w:hAnsi="Arial"/>
          <w:sz w:val="22"/>
          <w:szCs w:val="22"/>
        </w:rPr>
        <w:t xml:space="preserve">tj. wzrost </w:t>
      </w:r>
      <w:r w:rsidRPr="00CC27F9">
        <w:rPr>
          <w:rFonts w:ascii="Arial" w:hAnsi="Arial"/>
          <w:b/>
          <w:bCs/>
          <w:sz w:val="22"/>
          <w:szCs w:val="22"/>
        </w:rPr>
        <w:t>o 27</w:t>
      </w:r>
      <w:r>
        <w:rPr>
          <w:rFonts w:ascii="Arial" w:hAnsi="Arial"/>
          <w:b/>
          <w:bCs/>
          <w:sz w:val="22"/>
          <w:szCs w:val="22"/>
        </w:rPr>
        <w:t>8</w:t>
      </w:r>
      <w:r w:rsidRPr="00CC27F9">
        <w:rPr>
          <w:rFonts w:ascii="Arial" w:hAnsi="Arial"/>
          <w:b/>
          <w:bCs/>
          <w:sz w:val="22"/>
          <w:szCs w:val="22"/>
        </w:rPr>
        <w:t>%;</w:t>
      </w:r>
    </w:p>
    <w:p w14:paraId="614559B0" w14:textId="77777777" w:rsidR="008500AB" w:rsidRPr="00CC27F9" w:rsidRDefault="008500AB" w:rsidP="008500A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wynagrodzenie radcy prawnego Prokuratorii Generalnej Skarbu Państwa w stawce podstawowej wynosi 80% stawki zasadniczej sędziego sądu rejonowego (w 2002 roku PGSP nie istniała);</w:t>
      </w:r>
    </w:p>
    <w:p w14:paraId="3C8EAD59" w14:textId="77777777" w:rsidR="008500AB" w:rsidRPr="00CC27F9" w:rsidRDefault="008500AB" w:rsidP="008500A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wynagrodzenie sędziego Sądu Rejonowego w 2002 r. wynosiło ok. 3 300 złotych, podczas gdy obecny wskaźnik wynagrodzenia sędziego kształtuje się na poziomie minimalnym 205% średniego wynagrodzenia;</w:t>
      </w:r>
    </w:p>
    <w:p w14:paraId="6A6474B2" w14:textId="77777777" w:rsidR="00EC2599" w:rsidRPr="00CC27F9" w:rsidRDefault="00EC2599" w:rsidP="00EC2599">
      <w:pPr>
        <w:pStyle w:val="Akapitzlist"/>
        <w:spacing w:line="360" w:lineRule="auto"/>
        <w:ind w:left="789"/>
        <w:jc w:val="both"/>
        <w:rPr>
          <w:rFonts w:ascii="Arial" w:hAnsi="Arial"/>
          <w:sz w:val="22"/>
          <w:szCs w:val="22"/>
        </w:rPr>
      </w:pPr>
    </w:p>
    <w:p w14:paraId="2ADDC900" w14:textId="0618C318" w:rsidR="00EC259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Mówimy tutaj jedynie o uśrednionych wskaźnikach statystycznych. Żądana wysokość wynagrodzenia jest próbą urealnienia wynagrodzenia adwokackiego, które – mimo wzrostu wynagrodzeń w każdej dziedziczenia życia nie uległo stosownej zmianie.</w:t>
      </w:r>
    </w:p>
    <w:p w14:paraId="7F01352C" w14:textId="77777777" w:rsidR="00FF4B0E" w:rsidRDefault="00FF4B0E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1F202A9" w14:textId="46D4B6B8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Jakkolwiek katalog przyczyn, o którym mowa w § 4 ust. 2 rozporządzenia Ministra Sprawiedliwości w sprawie stawek z urzędu nie zawiera wprost przesłanki zmiany wartości siły nabywczej pieniądza, taki wniosek można wywieść z przesłanki „</w:t>
      </w:r>
      <w:r w:rsidRPr="00CC27F9">
        <w:rPr>
          <w:rFonts w:ascii="Arial" w:hAnsi="Arial"/>
          <w:i/>
          <w:iCs/>
          <w:sz w:val="22"/>
          <w:szCs w:val="22"/>
          <w:u w:val="single"/>
        </w:rPr>
        <w:t>nakładu pracy adwokata, w szczególności czasu poświęconego na przygotowanie się do przygotowania sprawy, stawiennictw w sądzie, w tym na rozprawach i posiedzeniach, czynności podjętych w sprawie, w tym czynnościach podjętych w celu polubownego rozwiązania sporu, również przed wniesieniem pozwu”.</w:t>
      </w:r>
      <w:r w:rsidRPr="00CC27F9">
        <w:rPr>
          <w:rFonts w:ascii="Arial" w:hAnsi="Arial"/>
          <w:sz w:val="22"/>
          <w:szCs w:val="22"/>
        </w:rPr>
        <w:t xml:space="preserve"> Skoro przesłanka ta odnosi się bezpośrednio do rzeczywistej wyceny pracy adwokata oraz wysiłku poświęconego sprawie, powinna także uwzględniać realność wartości nabywczej pieniądza. </w:t>
      </w:r>
    </w:p>
    <w:p w14:paraId="2C5CDAA6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0F53CD73" w14:textId="42CE9149" w:rsidR="002E52E3" w:rsidRPr="00CC27F9" w:rsidRDefault="00712D03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t xml:space="preserve"> </w:t>
      </w:r>
    </w:p>
    <w:p w14:paraId="2ABE2C16" w14:textId="3D0B8925" w:rsidR="002A7F95" w:rsidRDefault="002A7F95" w:rsidP="00C874E7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lastRenderedPageBreak/>
        <w:t>____________________________</w:t>
      </w:r>
    </w:p>
    <w:p w14:paraId="3F8EF45F" w14:textId="214CE5FF" w:rsidR="00F05E20" w:rsidRPr="00F05E20" w:rsidRDefault="00F05E20" w:rsidP="00F05E20">
      <w:pPr>
        <w:tabs>
          <w:tab w:val="left" w:pos="4536"/>
        </w:tabs>
        <w:spacing w:line="366" w:lineRule="auto"/>
        <w:rPr>
          <w:rFonts w:ascii="Arial" w:eastAsia="Times New Roman" w:hAnsi="Arial"/>
          <w:b/>
          <w:sz w:val="22"/>
          <w:szCs w:val="22"/>
        </w:rPr>
      </w:pPr>
      <w:r w:rsidRPr="00F05E20">
        <w:rPr>
          <w:rFonts w:ascii="Arial" w:eastAsia="Times New Roman" w:hAnsi="Arial"/>
          <w:b/>
          <w:sz w:val="22"/>
          <w:szCs w:val="22"/>
        </w:rPr>
        <w:t>W załączeniu:</w:t>
      </w:r>
    </w:p>
    <w:p w14:paraId="1E203D82" w14:textId="06957DCB" w:rsidR="00F05E20" w:rsidRPr="00F05E20" w:rsidRDefault="00F05E20" w:rsidP="00F05E20">
      <w:pPr>
        <w:pStyle w:val="Akapitzlist"/>
        <w:numPr>
          <w:ilvl w:val="0"/>
          <w:numId w:val="19"/>
        </w:numPr>
        <w:tabs>
          <w:tab w:val="left" w:pos="4536"/>
        </w:tabs>
        <w:spacing w:line="366" w:lineRule="auto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</w:rPr>
        <w:t>wykaz orzecznictwa Sądu Najwyższego oraz sądów powszechnych;</w:t>
      </w:r>
    </w:p>
    <w:sectPr w:rsidR="00F05E20" w:rsidRPr="00F05E20" w:rsidSect="000408B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875" w:left="1440" w:header="0" w:footer="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30B8" w14:textId="77777777" w:rsidR="00A46091" w:rsidRDefault="00A46091" w:rsidP="000408B0">
      <w:r>
        <w:separator/>
      </w:r>
    </w:p>
  </w:endnote>
  <w:endnote w:type="continuationSeparator" w:id="0">
    <w:p w14:paraId="2F58F960" w14:textId="77777777" w:rsidR="00A46091" w:rsidRDefault="00A46091" w:rsidP="0004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273481"/>
      <w:docPartObj>
        <w:docPartGallery w:val="Page Numbers (Bottom of Page)"/>
        <w:docPartUnique/>
      </w:docPartObj>
    </w:sdtPr>
    <w:sdtEndPr/>
    <w:sdtContent>
      <w:p w14:paraId="1A7B426B" w14:textId="427FF428" w:rsidR="00571EE1" w:rsidRDefault="00571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F83AD" w14:textId="77777777" w:rsidR="00571EE1" w:rsidRDefault="00571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41F5" w14:textId="56613F51" w:rsidR="00BE39BC" w:rsidRDefault="00193C1E">
    <w:pPr>
      <w:pStyle w:val="Stopka"/>
    </w:pPr>
    <w:r>
      <w:t xml:space="preserve"> </w:t>
    </w:r>
  </w:p>
  <w:p w14:paraId="54F1169D" w14:textId="77777777" w:rsidR="00BE39BC" w:rsidRDefault="00BE3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98FD" w14:textId="77777777" w:rsidR="00A46091" w:rsidRDefault="00A46091" w:rsidP="000408B0">
      <w:r>
        <w:separator/>
      </w:r>
    </w:p>
  </w:footnote>
  <w:footnote w:type="continuationSeparator" w:id="0">
    <w:p w14:paraId="2773DD5F" w14:textId="77777777" w:rsidR="00A46091" w:rsidRDefault="00A46091" w:rsidP="000408B0">
      <w:r>
        <w:continuationSeparator/>
      </w:r>
    </w:p>
  </w:footnote>
  <w:footnote w:id="1">
    <w:p w14:paraId="0D986C57" w14:textId="77777777" w:rsidR="009E0A02" w:rsidRDefault="009E0A02" w:rsidP="009E0A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72C7C">
        <w:rPr>
          <w:rFonts w:ascii="Arial" w:hAnsi="Arial"/>
          <w:sz w:val="18"/>
          <w:szCs w:val="18"/>
        </w:rPr>
        <w:t xml:space="preserve">Na taką konstatację wskazują pośrednio orzeczenia Trybunału Sprawiedliwości Unii Europejskiej (wyrok TSUE z dnia 6 października 2021 roku – C 487/19; wyrok TSUE z dnia </w:t>
      </w:r>
      <w:r>
        <w:rPr>
          <w:rFonts w:ascii="Arial" w:hAnsi="Arial"/>
          <w:sz w:val="18"/>
          <w:szCs w:val="18"/>
        </w:rPr>
        <w:t>2 marca</w:t>
      </w:r>
      <w:r w:rsidRPr="00472C7C">
        <w:rPr>
          <w:rFonts w:ascii="Arial" w:hAnsi="Arial"/>
          <w:sz w:val="18"/>
          <w:szCs w:val="18"/>
        </w:rPr>
        <w:t xml:space="preserve"> 2021 roku – C </w:t>
      </w:r>
      <w:r>
        <w:rPr>
          <w:rFonts w:ascii="Arial" w:hAnsi="Arial"/>
          <w:sz w:val="18"/>
          <w:szCs w:val="18"/>
        </w:rPr>
        <w:t>824</w:t>
      </w:r>
      <w:r w:rsidRPr="00472C7C">
        <w:rPr>
          <w:rFonts w:ascii="Arial" w:hAnsi="Arial"/>
          <w:sz w:val="18"/>
          <w:szCs w:val="18"/>
        </w:rPr>
        <w:t>/1</w:t>
      </w:r>
      <w:r>
        <w:rPr>
          <w:rFonts w:ascii="Arial" w:hAnsi="Arial"/>
          <w:sz w:val="18"/>
          <w:szCs w:val="18"/>
        </w:rPr>
        <w:t>8</w:t>
      </w:r>
      <w:r w:rsidRPr="00472C7C">
        <w:rPr>
          <w:rFonts w:ascii="Arial" w:hAnsi="Arial"/>
          <w:sz w:val="18"/>
          <w:szCs w:val="18"/>
        </w:rPr>
        <w:t>; postanowienie zabezpieczające z dnia 14 lipca 2021 roku – C 204/2) oraz orzecznictwem Europejskiego Trybunału Praw Człowieka (wyrok w sprawie skargi nr 26374/18 Guðmundur Andri Ástráðsson pko Islandii oraz wyrok w sprawie skargi nr 4344719 Reczkowicz pko Polsce)</w:t>
      </w:r>
      <w:r>
        <w:rPr>
          <w:rFonts w:ascii="Arial" w:hAnsi="Arial"/>
          <w:sz w:val="18"/>
          <w:szCs w:val="18"/>
        </w:rPr>
        <w:t xml:space="preserve">, a zwłaszcza wyrok Europejskiego Trybunału Praw Człowieka z dnia 7 maja 2021 roku w sprawie skargi nr 4907/18 Xero Flor w Polsce sp. z o.o. pko Polsce. </w:t>
      </w:r>
    </w:p>
  </w:footnote>
  <w:footnote w:id="2">
    <w:p w14:paraId="4447B580" w14:textId="77777777" w:rsidR="00A37329" w:rsidRDefault="00A37329" w:rsidP="00A373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C2008">
        <w:rPr>
          <w:rFonts w:ascii="Arial" w:hAnsi="Arial"/>
          <w:sz w:val="18"/>
          <w:szCs w:val="18"/>
        </w:rPr>
        <w:t>M. Gutowski; P. Kardas „Wykładnia i stosowanie prawa w procesie opartym na Konstytucji”</w:t>
      </w:r>
      <w:r>
        <w:rPr>
          <w:rFonts w:ascii="Arial" w:hAnsi="Arial"/>
          <w:sz w:val="18"/>
          <w:szCs w:val="18"/>
        </w:rPr>
        <w:t xml:space="preserve"> s. 196</w:t>
      </w:r>
      <w:r w:rsidRPr="005C2008">
        <w:rPr>
          <w:rFonts w:ascii="Arial" w:hAnsi="Arial"/>
          <w:sz w:val="18"/>
          <w:szCs w:val="18"/>
        </w:rPr>
        <w:t>; CH Beck. Warszawa 2017; P. Mikuli „Doktryna konieczności jako uzasadnienie dla rozproszonej kontroli konstytucyjności ustaw w Polsce”</w:t>
      </w:r>
      <w:r>
        <w:rPr>
          <w:rFonts w:ascii="Arial" w:hAnsi="Arial"/>
          <w:sz w:val="18"/>
          <w:szCs w:val="18"/>
        </w:rPr>
        <w:t xml:space="preserve">; M. Gutowski; P. Kardas „Sądowa kontrola konstytucyjności prawa. Kilka uwag o kompetencjach sądów powszechnych do bezpośredniego stosowania Konstytucji” Palestra 2016 nr 4, str. 9; L. Garlicki „Sądy </w:t>
      </w:r>
      <w:r>
        <w:rPr>
          <w:rFonts w:ascii="Arial" w:hAnsi="Arial"/>
          <w:sz w:val="18"/>
          <w:szCs w:val="18"/>
        </w:rPr>
        <w:br/>
        <w:t xml:space="preserve">a Konstytucja Rzeczypospolitej Polskiej” Przegląd Sadowy nr 7-8, str. 14; </w:t>
      </w:r>
    </w:p>
  </w:footnote>
  <w:footnote w:id="3">
    <w:p w14:paraId="0E0AD46F" w14:textId="77777777" w:rsidR="00A37329" w:rsidRPr="00217954" w:rsidRDefault="00A37329" w:rsidP="00A37329">
      <w:pPr>
        <w:pStyle w:val="Tekstprzypisudolnego"/>
        <w:jc w:val="both"/>
        <w:rPr>
          <w:rFonts w:ascii="Arial" w:hAnsi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15B0">
        <w:rPr>
          <w:rFonts w:ascii="Arial" w:hAnsi="Arial"/>
          <w:sz w:val="18"/>
          <w:szCs w:val="18"/>
        </w:rPr>
        <w:t xml:space="preserve">We wcześniejszym orzeczenie Sądowym możliwość taka została potwierdzona w wyroku SN z dnia 3 grudnia 2008 roku, sygn. akt. V CSK 310/08 (OSNC 2016/12/148) zgodnie z którym </w:t>
      </w:r>
      <w:r w:rsidRPr="007215B0">
        <w:rPr>
          <w:rFonts w:ascii="Arial" w:hAnsi="Arial"/>
          <w:i/>
          <w:iCs/>
          <w:sz w:val="18"/>
          <w:szCs w:val="18"/>
        </w:rPr>
        <w:t>„sąd może stwierdzić, że rozporządzenie (określony jego fragment) jest sprzeczny z ustawą”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. </w:t>
      </w:r>
      <w:r w:rsidRPr="007215B0">
        <w:rPr>
          <w:rFonts w:ascii="Arial" w:hAnsi="Arial"/>
          <w:sz w:val="18"/>
          <w:szCs w:val="18"/>
        </w:rPr>
        <w:t>W najnowszym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2A056A">
        <w:rPr>
          <w:rFonts w:ascii="Arial" w:hAnsi="Arial"/>
          <w:sz w:val="18"/>
          <w:szCs w:val="18"/>
        </w:rPr>
        <w:t xml:space="preserve">orzecznictwie </w:t>
      </w:r>
      <w:r>
        <w:rPr>
          <w:rFonts w:ascii="Arial" w:hAnsi="Arial"/>
          <w:sz w:val="18"/>
          <w:szCs w:val="18"/>
        </w:rPr>
        <w:t>s</w:t>
      </w:r>
      <w:r w:rsidRPr="002A056A">
        <w:rPr>
          <w:rFonts w:ascii="Arial" w:hAnsi="Arial"/>
          <w:sz w:val="18"/>
          <w:szCs w:val="18"/>
        </w:rPr>
        <w:t xml:space="preserve">ądowym za taką </w:t>
      </w:r>
      <w:r>
        <w:rPr>
          <w:rFonts w:ascii="Arial" w:hAnsi="Arial"/>
          <w:sz w:val="18"/>
          <w:szCs w:val="18"/>
        </w:rPr>
        <w:t>możliwością</w:t>
      </w:r>
      <w:r w:rsidRPr="002A056A">
        <w:rPr>
          <w:rFonts w:ascii="Arial" w:hAnsi="Arial"/>
          <w:sz w:val="18"/>
          <w:szCs w:val="18"/>
        </w:rPr>
        <w:t xml:space="preserve"> wypowiedział się m.in. Sąd Najwyższy w wyroku z dnia 17 marca 2016 roku, sygn. akt. V CSK 377/15, OSNC 2016/12/14</w:t>
      </w:r>
      <w:r>
        <w:rPr>
          <w:rFonts w:ascii="Arial" w:hAnsi="Arial"/>
          <w:sz w:val="18"/>
          <w:szCs w:val="18"/>
        </w:rPr>
        <w:t xml:space="preserve">8 (wtórna niekonstytucyjność przepisów). Możliwość władczego badania rozporządzeń pod kątem ich zgodności z ustawą dopuszcza także Sąd Apelacyjny w Krakowie (II AKa 824/20, nie publ.)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51CF" w14:textId="77777777" w:rsidR="000408B0" w:rsidRDefault="000408B0">
    <w:pPr>
      <w:pStyle w:val="Nagwek"/>
    </w:pPr>
  </w:p>
  <w:p w14:paraId="13FD52DC" w14:textId="77777777" w:rsidR="000408B0" w:rsidRDefault="000408B0">
    <w:pPr>
      <w:pStyle w:val="Nagwek"/>
    </w:pPr>
  </w:p>
  <w:p w14:paraId="78608188" w14:textId="77777777" w:rsidR="000408B0" w:rsidRDefault="000408B0">
    <w:pPr>
      <w:pStyle w:val="Nagwek"/>
    </w:pPr>
  </w:p>
  <w:p w14:paraId="295646C7" w14:textId="77777777" w:rsidR="000408B0" w:rsidRDefault="00FD2B8D" w:rsidP="00FD2B8D">
    <w:pPr>
      <w:pStyle w:val="Nagwek"/>
      <w:tabs>
        <w:tab w:val="clear" w:pos="4536"/>
        <w:tab w:val="clear" w:pos="9072"/>
        <w:tab w:val="left" w:pos="17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F771" w14:textId="77777777" w:rsidR="000408B0" w:rsidRDefault="000408B0">
    <w:pPr>
      <w:pStyle w:val="Nagwek"/>
    </w:pPr>
  </w:p>
  <w:p w14:paraId="57D87AE6" w14:textId="617930FD" w:rsidR="000408B0" w:rsidRDefault="000408B0">
    <w:pPr>
      <w:pStyle w:val="Nagwek"/>
    </w:pPr>
  </w:p>
  <w:p w14:paraId="4AB2224F" w14:textId="77777777" w:rsidR="000408B0" w:rsidRDefault="000408B0">
    <w:pPr>
      <w:pStyle w:val="Nagwek"/>
    </w:pPr>
  </w:p>
  <w:p w14:paraId="2EDB16FA" w14:textId="77777777" w:rsidR="000408B0" w:rsidRDefault="000408B0">
    <w:pPr>
      <w:pStyle w:val="Nagwek"/>
    </w:pPr>
  </w:p>
  <w:p w14:paraId="260D4C57" w14:textId="77777777" w:rsidR="000408B0" w:rsidRDefault="00040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148EF948">
      <w:start w:val="1"/>
      <w:numFmt w:val="decimal"/>
      <w:lvlText w:val="%1."/>
      <w:lvlJc w:val="left"/>
    </w:lvl>
    <w:lvl w:ilvl="1" w:tplc="EB9C5708">
      <w:start w:val="1"/>
      <w:numFmt w:val="bullet"/>
      <w:lvlText w:val=""/>
      <w:lvlJc w:val="left"/>
    </w:lvl>
    <w:lvl w:ilvl="2" w:tplc="26562E52">
      <w:start w:val="1"/>
      <w:numFmt w:val="bullet"/>
      <w:lvlText w:val=""/>
      <w:lvlJc w:val="left"/>
    </w:lvl>
    <w:lvl w:ilvl="3" w:tplc="5BB002A4">
      <w:start w:val="1"/>
      <w:numFmt w:val="bullet"/>
      <w:lvlText w:val=""/>
      <w:lvlJc w:val="left"/>
    </w:lvl>
    <w:lvl w:ilvl="4" w:tplc="A1BE5EE2">
      <w:start w:val="1"/>
      <w:numFmt w:val="bullet"/>
      <w:lvlText w:val=""/>
      <w:lvlJc w:val="left"/>
    </w:lvl>
    <w:lvl w:ilvl="5" w:tplc="7AB86AB4">
      <w:start w:val="1"/>
      <w:numFmt w:val="bullet"/>
      <w:lvlText w:val=""/>
      <w:lvlJc w:val="left"/>
    </w:lvl>
    <w:lvl w:ilvl="6" w:tplc="0B9494BC">
      <w:start w:val="1"/>
      <w:numFmt w:val="bullet"/>
      <w:lvlText w:val=""/>
      <w:lvlJc w:val="left"/>
    </w:lvl>
    <w:lvl w:ilvl="7" w:tplc="92E002EC">
      <w:start w:val="1"/>
      <w:numFmt w:val="bullet"/>
      <w:lvlText w:val=""/>
      <w:lvlJc w:val="left"/>
    </w:lvl>
    <w:lvl w:ilvl="8" w:tplc="5BB0DCC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ED9049D4">
      <w:start w:val="1"/>
      <w:numFmt w:val="bullet"/>
      <w:lvlText w:val="w"/>
      <w:lvlJc w:val="left"/>
    </w:lvl>
    <w:lvl w:ilvl="1" w:tplc="D8B2AB26">
      <w:start w:val="1"/>
      <w:numFmt w:val="bullet"/>
      <w:lvlText w:val="•"/>
      <w:lvlJc w:val="left"/>
    </w:lvl>
    <w:lvl w:ilvl="2" w:tplc="77A6993E">
      <w:start w:val="1"/>
      <w:numFmt w:val="bullet"/>
      <w:lvlText w:val="•"/>
      <w:lvlJc w:val="left"/>
    </w:lvl>
    <w:lvl w:ilvl="3" w:tplc="4822C8E4">
      <w:start w:val="1"/>
      <w:numFmt w:val="bullet"/>
      <w:lvlText w:val=""/>
      <w:lvlJc w:val="left"/>
    </w:lvl>
    <w:lvl w:ilvl="4" w:tplc="780E49CC">
      <w:start w:val="1"/>
      <w:numFmt w:val="bullet"/>
      <w:lvlText w:val=""/>
      <w:lvlJc w:val="left"/>
    </w:lvl>
    <w:lvl w:ilvl="5" w:tplc="8D6E4D48">
      <w:start w:val="1"/>
      <w:numFmt w:val="bullet"/>
      <w:lvlText w:val=""/>
      <w:lvlJc w:val="left"/>
    </w:lvl>
    <w:lvl w:ilvl="6" w:tplc="1D746AEC">
      <w:start w:val="1"/>
      <w:numFmt w:val="bullet"/>
      <w:lvlText w:val=""/>
      <w:lvlJc w:val="left"/>
    </w:lvl>
    <w:lvl w:ilvl="7" w:tplc="5C56E84E">
      <w:start w:val="1"/>
      <w:numFmt w:val="bullet"/>
      <w:lvlText w:val=""/>
      <w:lvlJc w:val="left"/>
    </w:lvl>
    <w:lvl w:ilvl="8" w:tplc="8EB41CEA">
      <w:start w:val="1"/>
      <w:numFmt w:val="bullet"/>
      <w:lvlText w:val=""/>
      <w:lvlJc w:val="left"/>
    </w:lvl>
  </w:abstractNum>
  <w:abstractNum w:abstractNumId="2" w15:restartNumberingAfterBreak="0">
    <w:nsid w:val="04AD18F5"/>
    <w:multiLevelType w:val="hybridMultilevel"/>
    <w:tmpl w:val="B8BEE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1C7A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0DA2"/>
    <w:multiLevelType w:val="hybridMultilevel"/>
    <w:tmpl w:val="84A2B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1D26"/>
    <w:multiLevelType w:val="hybridMultilevel"/>
    <w:tmpl w:val="239C7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57073"/>
    <w:multiLevelType w:val="hybridMultilevel"/>
    <w:tmpl w:val="C60E9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5363"/>
    <w:multiLevelType w:val="hybridMultilevel"/>
    <w:tmpl w:val="D34A658E"/>
    <w:lvl w:ilvl="0" w:tplc="3B36F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9193E"/>
    <w:multiLevelType w:val="hybridMultilevel"/>
    <w:tmpl w:val="4102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49A5"/>
    <w:multiLevelType w:val="hybridMultilevel"/>
    <w:tmpl w:val="6818FD08"/>
    <w:lvl w:ilvl="0" w:tplc="BC629CF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A3593"/>
    <w:multiLevelType w:val="multilevel"/>
    <w:tmpl w:val="FA6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24C76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532BE"/>
    <w:multiLevelType w:val="hybridMultilevel"/>
    <w:tmpl w:val="43CC6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1597"/>
    <w:multiLevelType w:val="hybridMultilevel"/>
    <w:tmpl w:val="39FA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2342C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53C39"/>
    <w:multiLevelType w:val="hybridMultilevel"/>
    <w:tmpl w:val="2996E8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D5A592B"/>
    <w:multiLevelType w:val="hybridMultilevel"/>
    <w:tmpl w:val="445CEC0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6F0D1342"/>
    <w:multiLevelType w:val="hybridMultilevel"/>
    <w:tmpl w:val="67F6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F53FC"/>
    <w:multiLevelType w:val="hybridMultilevel"/>
    <w:tmpl w:val="D34A658E"/>
    <w:lvl w:ilvl="0" w:tplc="3B36F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15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8"/>
  </w:num>
  <w:num w:numId="15">
    <w:abstractNumId w:val="4"/>
  </w:num>
  <w:num w:numId="16">
    <w:abstractNumId w:val="9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FB"/>
    <w:rsid w:val="00016C1C"/>
    <w:rsid w:val="00031750"/>
    <w:rsid w:val="00031A73"/>
    <w:rsid w:val="000408B0"/>
    <w:rsid w:val="00043BE3"/>
    <w:rsid w:val="00067511"/>
    <w:rsid w:val="00081958"/>
    <w:rsid w:val="0009648C"/>
    <w:rsid w:val="00096FA8"/>
    <w:rsid w:val="000C2D87"/>
    <w:rsid w:val="000D6644"/>
    <w:rsid w:val="000F5203"/>
    <w:rsid w:val="0011224D"/>
    <w:rsid w:val="001143B7"/>
    <w:rsid w:val="001276EA"/>
    <w:rsid w:val="00134763"/>
    <w:rsid w:val="001407DE"/>
    <w:rsid w:val="001502A7"/>
    <w:rsid w:val="00161AC8"/>
    <w:rsid w:val="00162352"/>
    <w:rsid w:val="00171BC0"/>
    <w:rsid w:val="00186BD6"/>
    <w:rsid w:val="00193C1E"/>
    <w:rsid w:val="001A71AF"/>
    <w:rsid w:val="00203045"/>
    <w:rsid w:val="00206874"/>
    <w:rsid w:val="002128E4"/>
    <w:rsid w:val="00215D29"/>
    <w:rsid w:val="0024749A"/>
    <w:rsid w:val="00252663"/>
    <w:rsid w:val="00252C48"/>
    <w:rsid w:val="0025338D"/>
    <w:rsid w:val="00256716"/>
    <w:rsid w:val="00256B54"/>
    <w:rsid w:val="002A0353"/>
    <w:rsid w:val="002A7F95"/>
    <w:rsid w:val="002B586C"/>
    <w:rsid w:val="002C4775"/>
    <w:rsid w:val="002D6F2E"/>
    <w:rsid w:val="002E086F"/>
    <w:rsid w:val="002E36AA"/>
    <w:rsid w:val="002E52E3"/>
    <w:rsid w:val="002F2D92"/>
    <w:rsid w:val="002F4DFF"/>
    <w:rsid w:val="003023B5"/>
    <w:rsid w:val="00330B07"/>
    <w:rsid w:val="00373E14"/>
    <w:rsid w:val="003745B5"/>
    <w:rsid w:val="00383996"/>
    <w:rsid w:val="0038525D"/>
    <w:rsid w:val="00397035"/>
    <w:rsid w:val="003B1E34"/>
    <w:rsid w:val="003D625C"/>
    <w:rsid w:val="003E16A6"/>
    <w:rsid w:val="003E7812"/>
    <w:rsid w:val="003F2F1C"/>
    <w:rsid w:val="003F6601"/>
    <w:rsid w:val="00423CFF"/>
    <w:rsid w:val="00423ED3"/>
    <w:rsid w:val="0044259C"/>
    <w:rsid w:val="00444396"/>
    <w:rsid w:val="0044756D"/>
    <w:rsid w:val="00461056"/>
    <w:rsid w:val="00470992"/>
    <w:rsid w:val="00471106"/>
    <w:rsid w:val="004714C1"/>
    <w:rsid w:val="00477816"/>
    <w:rsid w:val="0048609E"/>
    <w:rsid w:val="004871AF"/>
    <w:rsid w:val="004933D3"/>
    <w:rsid w:val="00494BDC"/>
    <w:rsid w:val="004A10C0"/>
    <w:rsid w:val="004A7038"/>
    <w:rsid w:val="004B7C10"/>
    <w:rsid w:val="004C33D4"/>
    <w:rsid w:val="00513420"/>
    <w:rsid w:val="005242D3"/>
    <w:rsid w:val="00527177"/>
    <w:rsid w:val="005316EB"/>
    <w:rsid w:val="00535279"/>
    <w:rsid w:val="00571EE1"/>
    <w:rsid w:val="00577DE3"/>
    <w:rsid w:val="00580445"/>
    <w:rsid w:val="00585981"/>
    <w:rsid w:val="005A574C"/>
    <w:rsid w:val="005B4556"/>
    <w:rsid w:val="005C3832"/>
    <w:rsid w:val="005D0A2C"/>
    <w:rsid w:val="005D3394"/>
    <w:rsid w:val="005F2A64"/>
    <w:rsid w:val="005F3342"/>
    <w:rsid w:val="00612F21"/>
    <w:rsid w:val="006145A8"/>
    <w:rsid w:val="006328A0"/>
    <w:rsid w:val="00634844"/>
    <w:rsid w:val="00644D90"/>
    <w:rsid w:val="006618B9"/>
    <w:rsid w:val="00687472"/>
    <w:rsid w:val="006909C1"/>
    <w:rsid w:val="006A4FA3"/>
    <w:rsid w:val="006A521B"/>
    <w:rsid w:val="006B02C2"/>
    <w:rsid w:val="006D06D5"/>
    <w:rsid w:val="006F5EED"/>
    <w:rsid w:val="00710D78"/>
    <w:rsid w:val="00712D03"/>
    <w:rsid w:val="00713481"/>
    <w:rsid w:val="0073166C"/>
    <w:rsid w:val="007319AE"/>
    <w:rsid w:val="0073204A"/>
    <w:rsid w:val="00734BAB"/>
    <w:rsid w:val="00734C72"/>
    <w:rsid w:val="0074322F"/>
    <w:rsid w:val="0075452C"/>
    <w:rsid w:val="00767341"/>
    <w:rsid w:val="007701E2"/>
    <w:rsid w:val="007703D7"/>
    <w:rsid w:val="00782A00"/>
    <w:rsid w:val="00796F08"/>
    <w:rsid w:val="00797869"/>
    <w:rsid w:val="007C3099"/>
    <w:rsid w:val="007C5D1F"/>
    <w:rsid w:val="007D7BF6"/>
    <w:rsid w:val="007F572B"/>
    <w:rsid w:val="00807CAC"/>
    <w:rsid w:val="00807F06"/>
    <w:rsid w:val="00815751"/>
    <w:rsid w:val="00830DF1"/>
    <w:rsid w:val="00837BED"/>
    <w:rsid w:val="008500AB"/>
    <w:rsid w:val="00860F31"/>
    <w:rsid w:val="0086156E"/>
    <w:rsid w:val="00870566"/>
    <w:rsid w:val="0087114C"/>
    <w:rsid w:val="00883A1B"/>
    <w:rsid w:val="0089421F"/>
    <w:rsid w:val="008B4AD7"/>
    <w:rsid w:val="008C1FB2"/>
    <w:rsid w:val="008D6D44"/>
    <w:rsid w:val="008E6342"/>
    <w:rsid w:val="008F5CDA"/>
    <w:rsid w:val="008F5FD8"/>
    <w:rsid w:val="0090199A"/>
    <w:rsid w:val="0092569B"/>
    <w:rsid w:val="00932BC2"/>
    <w:rsid w:val="009369AD"/>
    <w:rsid w:val="009465C4"/>
    <w:rsid w:val="0096645F"/>
    <w:rsid w:val="00986B34"/>
    <w:rsid w:val="009A05A0"/>
    <w:rsid w:val="009B3C70"/>
    <w:rsid w:val="009B6DD8"/>
    <w:rsid w:val="009C4C78"/>
    <w:rsid w:val="009D2521"/>
    <w:rsid w:val="009E0A02"/>
    <w:rsid w:val="009E2AF6"/>
    <w:rsid w:val="009E7485"/>
    <w:rsid w:val="009F3BE7"/>
    <w:rsid w:val="00A03A75"/>
    <w:rsid w:val="00A042FB"/>
    <w:rsid w:val="00A37329"/>
    <w:rsid w:val="00A46091"/>
    <w:rsid w:val="00A55D34"/>
    <w:rsid w:val="00A70315"/>
    <w:rsid w:val="00A716DD"/>
    <w:rsid w:val="00AA3E60"/>
    <w:rsid w:val="00AE2E6A"/>
    <w:rsid w:val="00AE3FE2"/>
    <w:rsid w:val="00AF5B7D"/>
    <w:rsid w:val="00AF7727"/>
    <w:rsid w:val="00B121FB"/>
    <w:rsid w:val="00B14D3B"/>
    <w:rsid w:val="00B34207"/>
    <w:rsid w:val="00B73B11"/>
    <w:rsid w:val="00B742AF"/>
    <w:rsid w:val="00B74EF1"/>
    <w:rsid w:val="00BB2A59"/>
    <w:rsid w:val="00BE356D"/>
    <w:rsid w:val="00BE39BC"/>
    <w:rsid w:val="00BF3B9E"/>
    <w:rsid w:val="00BF7FC2"/>
    <w:rsid w:val="00C03214"/>
    <w:rsid w:val="00C10BF5"/>
    <w:rsid w:val="00C26C17"/>
    <w:rsid w:val="00C44CF8"/>
    <w:rsid w:val="00C502BD"/>
    <w:rsid w:val="00C50495"/>
    <w:rsid w:val="00C51242"/>
    <w:rsid w:val="00C562C4"/>
    <w:rsid w:val="00C608F2"/>
    <w:rsid w:val="00C64CB8"/>
    <w:rsid w:val="00C8122C"/>
    <w:rsid w:val="00C81758"/>
    <w:rsid w:val="00C86B35"/>
    <w:rsid w:val="00C874E7"/>
    <w:rsid w:val="00C90897"/>
    <w:rsid w:val="00C93A66"/>
    <w:rsid w:val="00CC27F9"/>
    <w:rsid w:val="00CC6822"/>
    <w:rsid w:val="00CF02DB"/>
    <w:rsid w:val="00D14783"/>
    <w:rsid w:val="00D2070D"/>
    <w:rsid w:val="00D27B62"/>
    <w:rsid w:val="00D33D4F"/>
    <w:rsid w:val="00D516AB"/>
    <w:rsid w:val="00D66F4A"/>
    <w:rsid w:val="00D7270C"/>
    <w:rsid w:val="00D72775"/>
    <w:rsid w:val="00D7300B"/>
    <w:rsid w:val="00D77C7F"/>
    <w:rsid w:val="00D81199"/>
    <w:rsid w:val="00D8245C"/>
    <w:rsid w:val="00D85681"/>
    <w:rsid w:val="00DA275E"/>
    <w:rsid w:val="00DA48BF"/>
    <w:rsid w:val="00DB7F64"/>
    <w:rsid w:val="00DD29A5"/>
    <w:rsid w:val="00DE199B"/>
    <w:rsid w:val="00DF6918"/>
    <w:rsid w:val="00E0454E"/>
    <w:rsid w:val="00E257BD"/>
    <w:rsid w:val="00E30A6C"/>
    <w:rsid w:val="00E34875"/>
    <w:rsid w:val="00E4105D"/>
    <w:rsid w:val="00E93CD3"/>
    <w:rsid w:val="00E94DBB"/>
    <w:rsid w:val="00EA1B58"/>
    <w:rsid w:val="00EB27CA"/>
    <w:rsid w:val="00EB3ADC"/>
    <w:rsid w:val="00EB3E9C"/>
    <w:rsid w:val="00EC025C"/>
    <w:rsid w:val="00EC2599"/>
    <w:rsid w:val="00EC34D4"/>
    <w:rsid w:val="00ED510C"/>
    <w:rsid w:val="00ED7641"/>
    <w:rsid w:val="00EE4AFB"/>
    <w:rsid w:val="00EF4688"/>
    <w:rsid w:val="00EF67BE"/>
    <w:rsid w:val="00EF7BB6"/>
    <w:rsid w:val="00F05E20"/>
    <w:rsid w:val="00F12A6E"/>
    <w:rsid w:val="00F545C3"/>
    <w:rsid w:val="00F63A28"/>
    <w:rsid w:val="00F669C3"/>
    <w:rsid w:val="00F66AA6"/>
    <w:rsid w:val="00F7671D"/>
    <w:rsid w:val="00F77964"/>
    <w:rsid w:val="00F92295"/>
    <w:rsid w:val="00F94401"/>
    <w:rsid w:val="00FA0998"/>
    <w:rsid w:val="00FA2F2F"/>
    <w:rsid w:val="00FB3AD8"/>
    <w:rsid w:val="00FD2B8D"/>
    <w:rsid w:val="00FE2A6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5D8A5D"/>
  <w15:chartTrackingRefBased/>
  <w15:docId w15:val="{9B14B679-A509-40F4-A4A3-379D02E6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121F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2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B121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8B0"/>
  </w:style>
  <w:style w:type="paragraph" w:styleId="Stopka">
    <w:name w:val="footer"/>
    <w:basedOn w:val="Normalny"/>
    <w:link w:val="Stopka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8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5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56D"/>
  </w:style>
  <w:style w:type="character" w:styleId="Odwoanieprzypisukocowego">
    <w:name w:val="endnote reference"/>
    <w:uiPriority w:val="99"/>
    <w:semiHidden/>
    <w:unhideWhenUsed/>
    <w:rsid w:val="00447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1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D3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32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329"/>
  </w:style>
  <w:style w:type="character" w:styleId="Odwoanieprzypisudolnego">
    <w:name w:val="footnote reference"/>
    <w:basedOn w:val="Domylnaczcionkaakapitu"/>
    <w:uiPriority w:val="99"/>
    <w:semiHidden/>
    <w:unhideWhenUsed/>
    <w:rsid w:val="00A373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7210-D9D1-4D8F-B2D8-2B556570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2272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Filip Tohl</cp:lastModifiedBy>
  <cp:revision>17</cp:revision>
  <cp:lastPrinted>2021-11-16T16:07:00Z</cp:lastPrinted>
  <dcterms:created xsi:type="dcterms:W3CDTF">2021-12-29T14:31:00Z</dcterms:created>
  <dcterms:modified xsi:type="dcterms:W3CDTF">2022-01-12T15:32:00Z</dcterms:modified>
</cp:coreProperties>
</file>