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A940D" w14:textId="0126CD53" w:rsidR="00A600B2" w:rsidRPr="00D23C98" w:rsidRDefault="00A600B2" w:rsidP="00A600B2">
      <w:pPr>
        <w:pStyle w:val="Nagwek2"/>
        <w:jc w:val="right"/>
        <w:rPr>
          <w:color w:val="auto"/>
          <w:sz w:val="20"/>
          <w:szCs w:val="20"/>
        </w:rPr>
      </w:pPr>
      <w:r w:rsidRPr="00D23C98">
        <w:rPr>
          <w:color w:val="auto"/>
          <w:sz w:val="20"/>
          <w:szCs w:val="20"/>
        </w:rPr>
        <w:t>……………….., dnia …………………………. r.</w:t>
      </w:r>
    </w:p>
    <w:p w14:paraId="299C6F85" w14:textId="77777777" w:rsidR="00A600B2" w:rsidRPr="00D23C98" w:rsidRDefault="00A600B2" w:rsidP="00A600B2">
      <w:pPr>
        <w:pStyle w:val="Nagwek2"/>
        <w:ind w:left="5381"/>
        <w:rPr>
          <w:b/>
          <w:color w:val="auto"/>
        </w:rPr>
      </w:pPr>
    </w:p>
    <w:p w14:paraId="7D979D58" w14:textId="246AB200" w:rsidR="00A600B2" w:rsidRPr="00D23C98" w:rsidRDefault="00A600B2" w:rsidP="00A600B2">
      <w:pPr>
        <w:pStyle w:val="Nagwek2"/>
        <w:ind w:left="5103" w:firstLine="0"/>
        <w:rPr>
          <w:b/>
          <w:color w:val="auto"/>
          <w:sz w:val="22"/>
          <w:szCs w:val="22"/>
        </w:rPr>
      </w:pPr>
      <w:r w:rsidRPr="00D23C98">
        <w:rPr>
          <w:b/>
          <w:color w:val="auto"/>
          <w:sz w:val="22"/>
          <w:szCs w:val="22"/>
        </w:rPr>
        <w:t>SĄD ……….. W ………</w:t>
      </w:r>
    </w:p>
    <w:p w14:paraId="3C7C3AE5" w14:textId="40452DC5" w:rsidR="00A600B2" w:rsidRPr="00D23C98" w:rsidRDefault="00A600B2" w:rsidP="00A600B2">
      <w:pPr>
        <w:pStyle w:val="Nagwek2"/>
        <w:ind w:left="5103" w:firstLine="0"/>
        <w:rPr>
          <w:b/>
          <w:color w:val="auto"/>
          <w:sz w:val="22"/>
          <w:szCs w:val="22"/>
        </w:rPr>
      </w:pPr>
      <w:r w:rsidRPr="00D23C98">
        <w:rPr>
          <w:b/>
          <w:color w:val="auto"/>
          <w:sz w:val="22"/>
          <w:szCs w:val="22"/>
        </w:rPr>
        <w:t>WYDZIAŁ KARNY</w:t>
      </w:r>
    </w:p>
    <w:p w14:paraId="04EC3BD6" w14:textId="31A1FC3F" w:rsidR="00A600B2" w:rsidRPr="00D23C98" w:rsidRDefault="00A600B2" w:rsidP="00A600B2">
      <w:pPr>
        <w:pStyle w:val="Nagwek2"/>
        <w:ind w:left="5103" w:firstLine="0"/>
        <w:rPr>
          <w:color w:val="auto"/>
          <w:sz w:val="22"/>
          <w:szCs w:val="22"/>
        </w:rPr>
      </w:pPr>
      <w:r w:rsidRPr="00D23C98">
        <w:rPr>
          <w:color w:val="auto"/>
          <w:sz w:val="22"/>
          <w:szCs w:val="22"/>
        </w:rPr>
        <w:t>UL. …………………………</w:t>
      </w:r>
    </w:p>
    <w:p w14:paraId="75C02FA5" w14:textId="676B8F70" w:rsidR="00A600B2" w:rsidRPr="00D23C98" w:rsidRDefault="00A600B2" w:rsidP="00A600B2">
      <w:pPr>
        <w:pStyle w:val="Nagwek2"/>
        <w:ind w:left="5103" w:firstLine="0"/>
        <w:rPr>
          <w:color w:val="auto"/>
          <w:sz w:val="22"/>
          <w:szCs w:val="22"/>
        </w:rPr>
      </w:pPr>
      <w:r w:rsidRPr="00D23C98">
        <w:rPr>
          <w:color w:val="auto"/>
          <w:sz w:val="22"/>
          <w:szCs w:val="22"/>
        </w:rPr>
        <w:t>.. - … ………………………</w:t>
      </w:r>
    </w:p>
    <w:p w14:paraId="49CCAFA9" w14:textId="3497837D" w:rsidR="00A600B2" w:rsidRPr="00D23C98" w:rsidRDefault="00A600B2" w:rsidP="00A600B2">
      <w:pPr>
        <w:tabs>
          <w:tab w:val="left" w:pos="5109"/>
        </w:tabs>
        <w:spacing w:line="480" w:lineRule="auto"/>
        <w:ind w:firstLine="0"/>
        <w:jc w:val="left"/>
        <w:textboxTightWrap w:val="none"/>
        <w:rPr>
          <w:bCs/>
          <w:color w:val="auto"/>
          <w:sz w:val="20"/>
          <w:szCs w:val="20"/>
        </w:rPr>
      </w:pPr>
      <w:r w:rsidRPr="00D23C98">
        <w:rPr>
          <w:bCs/>
          <w:color w:val="auto"/>
          <w:sz w:val="20"/>
          <w:szCs w:val="20"/>
        </w:rPr>
        <w:t>OSKARŻONY:</w:t>
      </w:r>
    </w:p>
    <w:p w14:paraId="339C2488" w14:textId="0B674528" w:rsidR="00A600B2" w:rsidRPr="00D23C98" w:rsidRDefault="00A600B2" w:rsidP="00A600B2">
      <w:pPr>
        <w:tabs>
          <w:tab w:val="left" w:pos="5109"/>
        </w:tabs>
        <w:spacing w:line="480" w:lineRule="auto"/>
        <w:ind w:firstLine="0"/>
        <w:jc w:val="left"/>
        <w:textboxTightWrap w:val="none"/>
        <w:rPr>
          <w:bCs/>
          <w:color w:val="auto"/>
          <w:sz w:val="20"/>
          <w:szCs w:val="20"/>
        </w:rPr>
      </w:pPr>
      <w:r w:rsidRPr="00D23C98">
        <w:rPr>
          <w:bCs/>
          <w:color w:val="auto"/>
          <w:sz w:val="20"/>
          <w:szCs w:val="20"/>
        </w:rPr>
        <w:t xml:space="preserve">REPREZENTOWANY PRZEZ: </w:t>
      </w:r>
    </w:p>
    <w:p w14:paraId="4C7BCCAC" w14:textId="26B6DF54" w:rsidR="00A600B2" w:rsidRPr="00D23C98" w:rsidRDefault="00A600B2" w:rsidP="00A600B2">
      <w:pPr>
        <w:ind w:firstLine="0"/>
        <w:rPr>
          <w:color w:val="auto"/>
          <w:sz w:val="20"/>
          <w:szCs w:val="20"/>
        </w:rPr>
      </w:pPr>
      <w:r w:rsidRPr="00D23C98">
        <w:rPr>
          <w:color w:val="auto"/>
          <w:sz w:val="20"/>
          <w:szCs w:val="20"/>
        </w:rPr>
        <w:t>SYGNATURA AKT: …………</w:t>
      </w:r>
    </w:p>
    <w:p w14:paraId="4467BA00" w14:textId="0B3813FF" w:rsidR="00A600B2" w:rsidRPr="00D23C98" w:rsidRDefault="00A600B2" w:rsidP="00A600B2">
      <w:pPr>
        <w:pStyle w:val="Nagwek1"/>
        <w:rPr>
          <w:color w:val="auto"/>
        </w:rPr>
      </w:pPr>
      <w:r w:rsidRPr="00D23C98">
        <w:rPr>
          <w:color w:val="auto"/>
        </w:rPr>
        <w:t xml:space="preserve">WNIOSEK O UZASADNIENIE WYROKU SĄDU </w:t>
      </w:r>
      <w:r w:rsidR="00904649" w:rsidRPr="00D23C98">
        <w:rPr>
          <w:color w:val="auto"/>
        </w:rPr>
        <w:t>I</w:t>
      </w:r>
      <w:r w:rsidRPr="00D23C98">
        <w:rPr>
          <w:color w:val="auto"/>
        </w:rPr>
        <w:t>I INSTANCJI</w:t>
      </w:r>
    </w:p>
    <w:p w14:paraId="5A5771D5" w14:textId="6711FEA1" w:rsidR="00A600B2" w:rsidRPr="00D23C98" w:rsidRDefault="00A600B2" w:rsidP="00A600B2">
      <w:pPr>
        <w:ind w:firstLine="284"/>
        <w:rPr>
          <w:color w:val="auto"/>
          <w:szCs w:val="21"/>
        </w:rPr>
      </w:pPr>
      <w:r w:rsidRPr="00D23C98">
        <w:rPr>
          <w:color w:val="auto"/>
          <w:szCs w:val="21"/>
        </w:rPr>
        <w:t xml:space="preserve">Jako ustanowiony w sprawie obrońca ………., w związku z wydanym dnia ……….. r. wyrokiem Sądu ………. w ………., </w:t>
      </w:r>
      <w:r w:rsidRPr="00D23C98">
        <w:rPr>
          <w:b/>
          <w:bCs/>
          <w:color w:val="auto"/>
          <w:szCs w:val="21"/>
        </w:rPr>
        <w:t xml:space="preserve">wnoszę o </w:t>
      </w:r>
      <w:r w:rsidRPr="00D23C98">
        <w:rPr>
          <w:color w:val="auto"/>
          <w:szCs w:val="21"/>
        </w:rPr>
        <w:t>sporządzenie i doręczenie na adres siedziby mojej kancelarii uzasadnienia do ww. rozstrzygnięcia, w odniesieniu do</w:t>
      </w:r>
      <w:r w:rsidRPr="00D23C98">
        <w:rPr>
          <w:b/>
          <w:bCs/>
          <w:color w:val="auto"/>
          <w:szCs w:val="21"/>
        </w:rPr>
        <w:t xml:space="preserve"> </w:t>
      </w:r>
      <w:r w:rsidRPr="00D23C98">
        <w:rPr>
          <w:color w:val="auto"/>
          <w:szCs w:val="21"/>
        </w:rPr>
        <w:t>całości orzeczenia/do orzeczenia o karze/do orzeczenia o środkach karnych/ do orzeczenia o kosztach postępowania.</w:t>
      </w:r>
    </w:p>
    <w:p w14:paraId="67B6DE6E" w14:textId="2CFE049B" w:rsidR="00A600B2" w:rsidRPr="00D23C98" w:rsidRDefault="00A600B2" w:rsidP="00A600B2">
      <w:pPr>
        <w:ind w:firstLine="284"/>
        <w:rPr>
          <w:color w:val="auto"/>
        </w:rPr>
      </w:pPr>
      <w:r w:rsidRPr="00D23C98">
        <w:rPr>
          <w:color w:val="auto"/>
        </w:rPr>
        <w:t>Jednocześnie, wnoszę o zastosowanie tzw. rozproszonej kontroli konstytucyjności art. 99a k.p.k. i w konsekwencji sporządzenie uzasadnienia z pominięciem ww. przepisu. Wniosek ten jest uzasadniony stanowiskiem przedstawicieli judykatury, które odnosi się do możliwości realizacji prawa strony do rzetelnego procesu</w:t>
      </w:r>
      <w:r w:rsidR="00C21B04" w:rsidRPr="00D23C98">
        <w:rPr>
          <w:color w:val="auto"/>
        </w:rPr>
        <w:t>,</w:t>
      </w:r>
      <w:r w:rsidRPr="00D23C98">
        <w:rPr>
          <w:color w:val="auto"/>
        </w:rPr>
        <w:t xml:space="preserve"> w przypadku sporządzenia uzasadnienia w formie tzw. formularza. </w:t>
      </w:r>
    </w:p>
    <w:p w14:paraId="55F2BBBC" w14:textId="78DF6E9F" w:rsidR="00BC719E" w:rsidRPr="00D23C98" w:rsidRDefault="00A0778D" w:rsidP="00BC719E">
      <w:pPr>
        <w:ind w:firstLine="284"/>
        <w:rPr>
          <w:color w:val="auto"/>
        </w:rPr>
      </w:pPr>
      <w:r w:rsidRPr="00D23C98">
        <w:rPr>
          <w:color w:val="auto"/>
        </w:rPr>
        <w:t xml:space="preserve">Na zbadanie przez sąd powszechny możliwości zastosowania art. 99a k.p.k. zwrócił uwagę </w:t>
      </w:r>
      <w:r w:rsidR="00BC719E" w:rsidRPr="00D23C98">
        <w:rPr>
          <w:color w:val="auto"/>
        </w:rPr>
        <w:t>Sąd Najwyższy w wyroku z dnia 11 sierpnia 2020 r., sygn. akt I KA 1/20</w:t>
      </w:r>
      <w:r w:rsidR="00C21B04" w:rsidRPr="00D23C98">
        <w:rPr>
          <w:color w:val="auto"/>
        </w:rPr>
        <w:t>, gdzie</w:t>
      </w:r>
      <w:r w:rsidR="00BC719E" w:rsidRPr="00D23C98">
        <w:rPr>
          <w:color w:val="auto"/>
        </w:rPr>
        <w:t xml:space="preserve"> wskaza</w:t>
      </w:r>
      <w:r w:rsidR="00845E9E">
        <w:rPr>
          <w:color w:val="auto"/>
        </w:rPr>
        <w:t>no</w:t>
      </w:r>
      <w:r w:rsidR="00BC719E" w:rsidRPr="00D23C98">
        <w:rPr>
          <w:color w:val="auto"/>
        </w:rPr>
        <w:t>, że</w:t>
      </w:r>
      <w:r w:rsidR="00BC719E" w:rsidRPr="00D23C98">
        <w:rPr>
          <w:i/>
          <w:iCs/>
          <w:color w:val="auto"/>
        </w:rPr>
        <w:t xml:space="preserve"> "Uznanie, iż w razie konfliktu normy prawa krajowego z normą prawa wspólnotowego pierwszeństwo stosowania przysługuje tej ostatniej, prowadzi do wniosku, że w analizowanym wypadku zależność wymagana przez art. 193 Konstytucji nie wystąpi. O rozwiązaniu takiej kolizji sąd stosujący prawo rozstrzyga samodzielnie" </w:t>
      </w:r>
      <w:r w:rsidR="00BC719E" w:rsidRPr="00D23C98">
        <w:rPr>
          <w:color w:val="auto"/>
        </w:rPr>
        <w:t>i dalej</w:t>
      </w:r>
      <w:r w:rsidR="00BC719E" w:rsidRPr="00D23C98">
        <w:rPr>
          <w:i/>
          <w:iCs/>
          <w:color w:val="auto"/>
        </w:rPr>
        <w:t xml:space="preserve"> - "sądy krajowe mają też prawo i obowiązek odmówienia zastosowania normy krajowej, jeżeli koliduje ona z normami prawa wspólnotowego. Sąd krajowy nie orzeka w takim wypadku o uchyleniu normy prawa krajowego, lecz tylko odmawia jej zastosowania w takim zakresie, w jakim jest on obowiązany do dania pierwszeństwa normie prawa wspólnotowego." </w:t>
      </w:r>
      <w:r w:rsidR="00BC719E" w:rsidRPr="00D23C98">
        <w:rPr>
          <w:color w:val="auto"/>
        </w:rPr>
        <w:t xml:space="preserve">W końcowym fragmencie postanowienia </w:t>
      </w:r>
      <w:r w:rsidR="009A09E1" w:rsidRPr="00D23C98">
        <w:rPr>
          <w:color w:val="auto"/>
        </w:rPr>
        <w:t>Sąd Najwyższy</w:t>
      </w:r>
      <w:r w:rsidR="00BC719E" w:rsidRPr="00D23C98">
        <w:rPr>
          <w:color w:val="auto"/>
        </w:rPr>
        <w:t xml:space="preserve"> wskazał, że:</w:t>
      </w:r>
      <w:r w:rsidR="00BC719E" w:rsidRPr="00D23C98">
        <w:rPr>
          <w:i/>
          <w:iCs/>
          <w:color w:val="auto"/>
        </w:rPr>
        <w:t xml:space="preserve"> "</w:t>
      </w:r>
      <w:r w:rsidR="00845E9E">
        <w:rPr>
          <w:i/>
          <w:iCs/>
          <w:color w:val="auto"/>
        </w:rPr>
        <w:t>(</w:t>
      </w:r>
      <w:r w:rsidR="00BC719E" w:rsidRPr="00D23C98">
        <w:rPr>
          <w:i/>
          <w:iCs/>
          <w:color w:val="auto"/>
        </w:rPr>
        <w:t>...</w:t>
      </w:r>
      <w:r w:rsidR="00845E9E">
        <w:rPr>
          <w:i/>
          <w:iCs/>
          <w:color w:val="auto"/>
        </w:rPr>
        <w:t>)</w:t>
      </w:r>
      <w:r w:rsidR="00BC719E" w:rsidRPr="00D23C98">
        <w:rPr>
          <w:i/>
          <w:iCs/>
          <w:color w:val="auto"/>
        </w:rPr>
        <w:t xml:space="preserve"> należy uznać brak konieczności zwracania się do TK z pytaniami prawnymi dotyczącym zgodności prawa krajowego z prawem wspólnotowym - nawet w sytuacji gdy sąd zamierza odmówić zastosowania ustawy krajowej. Problem rozwiązywania kolizji z ustawami krajowymi pozostaje więc w zasadzie poza zainteresowaniem TK. </w:t>
      </w:r>
      <w:r w:rsidR="00BC719E" w:rsidRPr="00D23C98">
        <w:rPr>
          <w:b/>
          <w:bCs/>
          <w:i/>
          <w:iCs/>
          <w:color w:val="auto"/>
        </w:rPr>
        <w:t xml:space="preserve">O tym, czy ustawa koliduje z prawem wspólnotowym, rozstrzygać będą bowiem Sąd Najwyższy, sądy administracyjne i sądy powszechne, a o </w:t>
      </w:r>
      <w:r w:rsidR="00BC719E" w:rsidRPr="00D23C98">
        <w:rPr>
          <w:b/>
          <w:bCs/>
          <w:i/>
          <w:iCs/>
          <w:color w:val="auto"/>
        </w:rPr>
        <w:lastRenderedPageBreak/>
        <w:t>tym, co znaczą normy prawa wspólnotowego, rozstrzygać będzie ETS, wydając orzeczenia wstępne</w:t>
      </w:r>
      <w:r w:rsidR="00343119">
        <w:rPr>
          <w:b/>
          <w:bCs/>
          <w:i/>
          <w:iCs/>
          <w:color w:val="auto"/>
        </w:rPr>
        <w:t xml:space="preserve"> (</w:t>
      </w:r>
      <w:r w:rsidR="00BC719E" w:rsidRPr="00D23C98">
        <w:rPr>
          <w:b/>
          <w:bCs/>
          <w:i/>
          <w:iCs/>
          <w:color w:val="auto"/>
        </w:rPr>
        <w:t>...</w:t>
      </w:r>
      <w:r w:rsidR="00343119">
        <w:rPr>
          <w:b/>
          <w:bCs/>
          <w:i/>
          <w:iCs/>
          <w:color w:val="auto"/>
        </w:rPr>
        <w:t>)</w:t>
      </w:r>
      <w:r w:rsidR="00BC719E" w:rsidRPr="00D23C98">
        <w:rPr>
          <w:b/>
          <w:bCs/>
          <w:i/>
          <w:iCs/>
          <w:color w:val="auto"/>
        </w:rPr>
        <w:t xml:space="preserve">" </w:t>
      </w:r>
      <w:r w:rsidR="00BC719E" w:rsidRPr="00D23C98">
        <w:rPr>
          <w:color w:val="auto"/>
        </w:rPr>
        <w:t>oraz</w:t>
      </w:r>
      <w:r w:rsidR="00BC719E" w:rsidRPr="00D23C98">
        <w:rPr>
          <w:b/>
          <w:bCs/>
          <w:i/>
          <w:iCs/>
          <w:color w:val="auto"/>
        </w:rPr>
        <w:t xml:space="preserve"> "w szczególnej sytuacji kolizji ustawy z prawem wspólnotowym uprawnienie sądu do zadania pytania prawnego zostaje w pewnym sensie ograniczone ze względu na regułę kolizyjną zawartą w art. 91 ust. 2 Konstytucji oraz zasady stosowania prawa wspólnotowego, przede wszystkim zasadę bezpośredniego stosowania prawa wspólnotowego w wypadku kolizji z ustawą</w:t>
      </w:r>
      <w:r w:rsidRPr="00D23C98">
        <w:rPr>
          <w:b/>
          <w:bCs/>
          <w:i/>
          <w:iCs/>
          <w:color w:val="auto"/>
        </w:rPr>
        <w:t xml:space="preserve"> </w:t>
      </w:r>
      <w:r w:rsidRPr="00D23C98">
        <w:rPr>
          <w:i/>
          <w:iCs/>
          <w:color w:val="auto"/>
        </w:rPr>
        <w:t xml:space="preserve">[Wyrok SN z 11.08.2020 r., I KA 1/20, LEX nr 3061026]. </w:t>
      </w:r>
      <w:r w:rsidRPr="00D23C98">
        <w:rPr>
          <w:color w:val="auto"/>
        </w:rPr>
        <w:t xml:space="preserve">Sąd Najwyższy odstąpił więc od zastosowania art. 99a k.p.k. i sporządził uzasadnienie w dotychczasowej formie, tj. </w:t>
      </w:r>
      <w:r w:rsidR="009A09E1" w:rsidRPr="00D23C98">
        <w:rPr>
          <w:color w:val="auto"/>
        </w:rPr>
        <w:t xml:space="preserve">takiej jak </w:t>
      </w:r>
      <w:r w:rsidRPr="00D23C98">
        <w:rPr>
          <w:color w:val="auto"/>
        </w:rPr>
        <w:t>przed wejściem w życie tego przepisu.</w:t>
      </w:r>
    </w:p>
    <w:p w14:paraId="5C190DC9" w14:textId="54E72E8B" w:rsidR="00BC719E" w:rsidRPr="00D23C98" w:rsidRDefault="00343119" w:rsidP="00BC719E">
      <w:pPr>
        <w:ind w:firstLine="284"/>
        <w:rPr>
          <w:i/>
          <w:iCs/>
          <w:color w:val="auto"/>
        </w:rPr>
      </w:pPr>
      <w:r>
        <w:rPr>
          <w:color w:val="auto"/>
        </w:rPr>
        <w:t>Analizy prawnej w powyższym zakresie</w:t>
      </w:r>
      <w:r w:rsidRPr="00D23C98">
        <w:rPr>
          <w:color w:val="auto"/>
        </w:rPr>
        <w:t xml:space="preserve"> </w:t>
      </w:r>
      <w:r w:rsidR="00BC719E" w:rsidRPr="00D23C98">
        <w:rPr>
          <w:color w:val="auto"/>
        </w:rPr>
        <w:t xml:space="preserve">dokonał również Sąd Apelacyjny w Gdańsku, który w wyroku z dnia 17 czerwca 2020 r. wskazał, iż </w:t>
      </w:r>
      <w:r w:rsidR="009A09E1" w:rsidRPr="00D23C98">
        <w:rPr>
          <w:color w:val="auto"/>
        </w:rPr>
        <w:t>„</w:t>
      </w:r>
      <w:r w:rsidR="00BC719E" w:rsidRPr="00D23C98">
        <w:rPr>
          <w:b/>
          <w:bCs/>
          <w:i/>
          <w:iCs/>
          <w:color w:val="auto"/>
        </w:rPr>
        <w:t xml:space="preserve">Analiza wzorów formularzy urzędowych uzasadnień wyroków prowadzi do wniosku, że uzasadnienie sporządzone przy ich wykorzystaniu nie będzie spełniało kryteriów, wymaganych przez art. 424 § 1-3 k.p.k. w związku z art. 45 ust. 1 Konstytucji oraz z art. 6 ust. 1-3 Konwencji </w:t>
      </w:r>
      <w:r w:rsidR="00BC719E" w:rsidRPr="00D23C98">
        <w:rPr>
          <w:i/>
          <w:iCs/>
          <w:color w:val="auto"/>
        </w:rPr>
        <w:t>(powyższy pogląd został wyrażony i sformułowany w uzasadnieniu wyroku III K 566/19 S</w:t>
      </w:r>
      <w:r w:rsidR="00633497" w:rsidRPr="00D23C98">
        <w:rPr>
          <w:i/>
          <w:iCs/>
          <w:color w:val="auto"/>
        </w:rPr>
        <w:t>ą</w:t>
      </w:r>
      <w:r w:rsidR="00BC719E" w:rsidRPr="00D23C98">
        <w:rPr>
          <w:i/>
          <w:iCs/>
          <w:color w:val="auto"/>
        </w:rPr>
        <w:t>du Rejonowego w Bydgoszczy przez sędziego Sądu Rejonowego w Bydgoszczy Jakuba Kościerzyńskiego)</w:t>
      </w:r>
      <w:r w:rsidR="00275FCE" w:rsidRPr="00D23C98">
        <w:rPr>
          <w:i/>
          <w:iCs/>
          <w:color w:val="auto"/>
        </w:rPr>
        <w:t>”</w:t>
      </w:r>
      <w:r w:rsidR="00BC719E" w:rsidRPr="00D23C98">
        <w:rPr>
          <w:i/>
          <w:iCs/>
          <w:color w:val="auto"/>
        </w:rPr>
        <w:t xml:space="preserve">. [Wyrok SA w Gdańsku z 17.06.2020 r., II </w:t>
      </w:r>
      <w:proofErr w:type="spellStart"/>
      <w:r w:rsidR="00BC719E" w:rsidRPr="00D23C98">
        <w:rPr>
          <w:i/>
          <w:iCs/>
          <w:color w:val="auto"/>
        </w:rPr>
        <w:t>AKa</w:t>
      </w:r>
      <w:proofErr w:type="spellEnd"/>
      <w:r w:rsidR="00BC719E" w:rsidRPr="00D23C98">
        <w:rPr>
          <w:i/>
          <w:iCs/>
          <w:color w:val="auto"/>
        </w:rPr>
        <w:t xml:space="preserve"> 64/20, LEX nr 3055805].</w:t>
      </w:r>
    </w:p>
    <w:p w14:paraId="6D800AEF" w14:textId="2143AAA7" w:rsidR="00A600B2" w:rsidRPr="00D23C98" w:rsidRDefault="00A0778D" w:rsidP="00A600B2">
      <w:pPr>
        <w:ind w:firstLine="284"/>
        <w:rPr>
          <w:color w:val="auto"/>
        </w:rPr>
      </w:pPr>
      <w:r w:rsidRPr="00D23C98">
        <w:rPr>
          <w:color w:val="auto"/>
        </w:rPr>
        <w:t>Sąd Rejonowy w Bydgoszczy, do którego wyroku odniósł się Sąd Apelacyjny w Gdańsku</w:t>
      </w:r>
      <w:r w:rsidR="00343119">
        <w:rPr>
          <w:color w:val="auto"/>
        </w:rPr>
        <w:t>,</w:t>
      </w:r>
      <w:r w:rsidRPr="00D23C98">
        <w:rPr>
          <w:color w:val="auto"/>
        </w:rPr>
        <w:t xml:space="preserve"> wskazał, że</w:t>
      </w:r>
      <w:r w:rsidR="00A600B2" w:rsidRPr="00D23C98">
        <w:rPr>
          <w:b/>
          <w:bCs/>
          <w:i/>
          <w:iCs/>
          <w:color w:val="auto"/>
        </w:rPr>
        <w:t xml:space="preserve"> </w:t>
      </w:r>
      <w:r w:rsidR="00C53403" w:rsidRPr="00D23C98">
        <w:rPr>
          <w:b/>
          <w:bCs/>
          <w:i/>
          <w:iCs/>
          <w:color w:val="auto"/>
        </w:rPr>
        <w:t>„</w:t>
      </w:r>
      <w:r w:rsidR="00A600B2" w:rsidRPr="00D23C98">
        <w:rPr>
          <w:b/>
          <w:bCs/>
          <w:i/>
          <w:iCs/>
          <w:color w:val="auto"/>
        </w:rPr>
        <w:t>nie sporządził uzasadnienia wyroku na formularzu, o którym mowa w art. 99a § 1 k.p.k., gdyż zastosowanie rzeczonego formularza narusza prawo strony do rzetelnego procesu. Prawo do rzetelnego procesu ma wymiar konstytucyjny (art. 45 ust. 1 Konstytucji) oraz konwencyjny (art. 6 ust. 1-3 Europejskiej Konwencji o Ochronie Praw Człowieka i Podstawowych Wolności, dalej jako Konwencja). Tym samym wykładnia art. 424 § 1-3 k.p.k. winna uwzględniać standardy określone w art. 45 ust. 1 Konstytucji oraz w art. 6 ust. 1-3 Konwencji. Obowiązek sporządzenia uzasadnienia orzeczenia jest nie tylko wymogiem formalnym, ale ma istotne znaczenie merytoryczne.</w:t>
      </w:r>
      <w:r w:rsidR="00A600B2" w:rsidRPr="00D23C98">
        <w:rPr>
          <w:i/>
          <w:iCs/>
          <w:color w:val="auto"/>
        </w:rPr>
        <w:t xml:space="preserve"> Uzasadnienie, przedstawiając tok rozumowania poprzedzający wydanie orzeczenia, umożliwić ma stronom, a zwłaszcza oskarżonemu, jego kontrolę. Pełni nie tylko funkcje procesowe, lecz także buduje autorytet wymiaru sprawiedliwości i kształtuje zewnętrzne przekonanie o sprawiedliwości orzeczenia</w:t>
      </w:r>
      <w:r w:rsidR="00C53403" w:rsidRPr="00D23C98">
        <w:rPr>
          <w:i/>
          <w:iCs/>
          <w:color w:val="auto"/>
        </w:rPr>
        <w:t>”</w:t>
      </w:r>
      <w:r w:rsidR="00A600B2" w:rsidRPr="00D23C98">
        <w:rPr>
          <w:i/>
          <w:iCs/>
          <w:color w:val="auto"/>
        </w:rPr>
        <w:t xml:space="preserve"> [wyrok Sądu Rejonowego w Bydgoszczy z dnia 29 stycznia 2020 r., sygnatura akt III K 566/19 (LEX nr 3033461)].</w:t>
      </w:r>
      <w:r w:rsidR="00A600B2" w:rsidRPr="00D23C98">
        <w:rPr>
          <w:color w:val="auto"/>
        </w:rPr>
        <w:t xml:space="preserve"> Analogiczne stanowisko zaprezentował również Sąd Rejonowy w Toruniu w uzasadnieniu wyroku z dnia 17 grudnia 2019 r., </w:t>
      </w:r>
      <w:r w:rsidR="00D23C98" w:rsidRPr="00D23C98">
        <w:rPr>
          <w:color w:val="auto"/>
        </w:rPr>
        <w:t>sygn.</w:t>
      </w:r>
      <w:r w:rsidR="00A600B2" w:rsidRPr="00D23C98">
        <w:rPr>
          <w:color w:val="auto"/>
        </w:rPr>
        <w:t xml:space="preserve"> akt II K 1584/19 (LEX nr 27728720). </w:t>
      </w:r>
    </w:p>
    <w:p w14:paraId="64305F05" w14:textId="443F98D1" w:rsidR="00A600B2" w:rsidRPr="00D23C98" w:rsidRDefault="00A600B2" w:rsidP="00A600B2">
      <w:pPr>
        <w:rPr>
          <w:i/>
          <w:iCs/>
          <w:color w:val="auto"/>
        </w:rPr>
      </w:pPr>
      <w:r w:rsidRPr="00D23C98">
        <w:rPr>
          <w:color w:val="auto"/>
        </w:rPr>
        <w:t>Sąd Rejonowy we Włocławku, podobnie jak Sąd Rejonowy w Bydgoszczy</w:t>
      </w:r>
      <w:r w:rsidR="00D23C98" w:rsidRPr="00D23C98">
        <w:rPr>
          <w:color w:val="auto"/>
        </w:rPr>
        <w:t>,</w:t>
      </w:r>
      <w:r w:rsidR="00A0778D" w:rsidRPr="00D23C98">
        <w:rPr>
          <w:color w:val="auto"/>
        </w:rPr>
        <w:t xml:space="preserve"> również odstąpił od stosowania art. 99a k.p.k.</w:t>
      </w:r>
      <w:r w:rsidRPr="00D23C98">
        <w:rPr>
          <w:color w:val="auto"/>
        </w:rPr>
        <w:t>, nawią</w:t>
      </w:r>
      <w:r w:rsidR="00A0778D" w:rsidRPr="00D23C98">
        <w:rPr>
          <w:color w:val="auto"/>
        </w:rPr>
        <w:t>zując</w:t>
      </w:r>
      <w:r w:rsidRPr="00D23C98">
        <w:rPr>
          <w:color w:val="auto"/>
        </w:rPr>
        <w:t xml:space="preserve"> do ugruntowanej linii orzeczniczej, w tym wypadku dotyczącej m. in. ocen</w:t>
      </w:r>
      <w:r w:rsidR="00A0778D" w:rsidRPr="00D23C98">
        <w:rPr>
          <w:color w:val="auto"/>
        </w:rPr>
        <w:t xml:space="preserve">y dowodów. W wyroku z dnia 12 marca 2020 r. uznał, że </w:t>
      </w:r>
      <w:r w:rsidR="00D23C98" w:rsidRPr="00D23C98">
        <w:rPr>
          <w:color w:val="auto"/>
        </w:rPr>
        <w:t>„</w:t>
      </w:r>
      <w:r w:rsidRPr="00D23C98">
        <w:rPr>
          <w:b/>
          <w:bCs/>
          <w:i/>
          <w:iCs/>
          <w:color w:val="auto"/>
        </w:rPr>
        <w:t>Nie można posługiwać się streszczeniem dowodów zamiast dokonania ustaleń faktycznych i wskazania, na jakich dowodach zostały oparte</w:t>
      </w:r>
      <w:r w:rsidRPr="00D23C98">
        <w:rPr>
          <w:i/>
          <w:iCs/>
          <w:color w:val="auto"/>
        </w:rPr>
        <w:t xml:space="preserve"> (wyr. SN z 3 lipca 1975 r., II KR 86/75, OSNPG 1975, Nr 10, poz. 103; wyr. SA w Katowicach z 27 lutego 2005 r., II </w:t>
      </w:r>
      <w:proofErr w:type="spellStart"/>
      <w:r w:rsidRPr="00D23C98">
        <w:rPr>
          <w:i/>
          <w:iCs/>
          <w:color w:val="auto"/>
        </w:rPr>
        <w:t>AKa</w:t>
      </w:r>
      <w:proofErr w:type="spellEnd"/>
      <w:r w:rsidRPr="00D23C98">
        <w:rPr>
          <w:i/>
          <w:iCs/>
          <w:color w:val="auto"/>
        </w:rPr>
        <w:t xml:space="preserve"> 433/05, Biul. SA w K. 2005, Nr 2, poz. 4). </w:t>
      </w:r>
      <w:r w:rsidRPr="00D23C98">
        <w:rPr>
          <w:b/>
          <w:bCs/>
          <w:i/>
          <w:iCs/>
          <w:color w:val="auto"/>
        </w:rPr>
        <w:t>Konieczne jest ustalenie zależności każdego z dowodów w całości lub konkretnym fragmencie od poszczególnych okoliczności faktycznych, które w sprawie wymagają udowodnienia i uzasadnienia</w:t>
      </w:r>
      <w:r w:rsidRPr="00D23C98">
        <w:rPr>
          <w:i/>
          <w:iCs/>
          <w:color w:val="auto"/>
        </w:rPr>
        <w:t xml:space="preserve"> (Z komentarza do Ustawy Kodeks Postępowania Karnego red. </w:t>
      </w:r>
      <w:r w:rsidRPr="00D23C98">
        <w:rPr>
          <w:i/>
          <w:iCs/>
          <w:color w:val="auto"/>
        </w:rPr>
        <w:lastRenderedPageBreak/>
        <w:t>Prof. P. Hofmański 2011 r. wyd. 4)</w:t>
      </w:r>
      <w:r w:rsidR="00D23C98" w:rsidRPr="00D23C98">
        <w:rPr>
          <w:i/>
          <w:iCs/>
          <w:color w:val="auto"/>
        </w:rPr>
        <w:t>”</w:t>
      </w:r>
      <w:r w:rsidRPr="00D23C98">
        <w:rPr>
          <w:i/>
          <w:iCs/>
          <w:color w:val="auto"/>
        </w:rPr>
        <w:t xml:space="preserve"> [wyrok Sądu Rejonowego we Włocławku z dnia 12 marca 2020 r., sygn. akt II K 1830/19 (LEX nr 3008096)].</w:t>
      </w:r>
    </w:p>
    <w:p w14:paraId="653AC886" w14:textId="3D534678" w:rsidR="00904649" w:rsidRPr="00D23C98" w:rsidRDefault="00904649" w:rsidP="00904649">
      <w:pPr>
        <w:ind w:firstLine="284"/>
        <w:rPr>
          <w:color w:val="auto"/>
        </w:rPr>
      </w:pPr>
      <w:r w:rsidRPr="00D23C98">
        <w:rPr>
          <w:color w:val="auto"/>
        </w:rPr>
        <w:t xml:space="preserve">Warto podkreślić, iż Sąd Najwyższy w przytoczonym wcześniej wyroku z dnia 11 sierpnia 2020 r., sygn. akt I KA 1/20 wskazał, iż </w:t>
      </w:r>
      <w:r w:rsidRPr="00D23C98">
        <w:rPr>
          <w:i/>
          <w:iCs/>
          <w:color w:val="auto"/>
        </w:rPr>
        <w:t xml:space="preserve">„Aby nie doszło do naruszenia prawa do rzetelnego procesu sądowego (na etapie odwoławczym) opisanego w art. 6 ust. 1 EKPC, tak jak jest on ujmowany i tłumaczony przez orzeczenia ETPC, zwłaszcza, że w systemie prawa polskiego istnieje jeszcze nadzwyczajny środek zaskarżenia (kasacja), który może być oparty na naruszeniu prawa procesowego (w tym naruszeniu art. 433 § 1 i 2 k.p.k. w zw. z art. 457 § 3 k.p.k.), </w:t>
      </w:r>
      <w:r w:rsidRPr="00D23C98">
        <w:rPr>
          <w:b/>
          <w:bCs/>
          <w:i/>
          <w:iCs/>
          <w:color w:val="auto"/>
        </w:rPr>
        <w:t xml:space="preserve">konieczne jest by kontrola ta w aspekcie standardu konwencyjnego realizowana była przez sąd odwoławczy, jak też i Sąd Najwyższy w ramach postępowania kasacyjnego. </w:t>
      </w:r>
      <w:r w:rsidRPr="00D23C98">
        <w:rPr>
          <w:i/>
          <w:iCs/>
          <w:color w:val="auto"/>
        </w:rPr>
        <w:t>Nie inaczej jakość uzasadnienia orzeczenia sądowego postrzega Trybunał Konstytucyjny na tle art. 45 ust. 1 Konstytucji RP. Przyjmuje bowiem, że uzasadnianie orzeczeń jest decydującym komponentem prawa do rzetelnego procesu sądowego i podkreśla</w:t>
      </w:r>
      <w:r w:rsidR="00D23C98">
        <w:rPr>
          <w:i/>
          <w:iCs/>
          <w:color w:val="auto"/>
        </w:rPr>
        <w:t>,</w:t>
      </w:r>
      <w:r w:rsidRPr="00D23C98">
        <w:rPr>
          <w:i/>
          <w:iCs/>
          <w:color w:val="auto"/>
        </w:rPr>
        <w:t xml:space="preserve"> że uzasadnienie orzeczenia jest podstawą kontroli zewnętrznej orzeczenia przez organ wyższej instancji, bowiem dokumentuje argumenty przemawiające za przyjętym rozstrzygnięciem (wyrok TK z dnia 16 stycznia 2006 r., SK 30/05, OTK-A 2006, Nr 1, poz. 2, teza 4.3. uzasadnienia)</w:t>
      </w:r>
      <w:r w:rsidR="00F70C12">
        <w:rPr>
          <w:i/>
          <w:iCs/>
          <w:color w:val="auto"/>
        </w:rPr>
        <w:t xml:space="preserve">” </w:t>
      </w:r>
      <w:r w:rsidRPr="00D23C98">
        <w:rPr>
          <w:i/>
          <w:iCs/>
          <w:color w:val="auto"/>
        </w:rPr>
        <w:t xml:space="preserve">[Wyrok SN z 11.08.2020 r., I KA 1/20, LEX nr 3061026]. </w:t>
      </w:r>
      <w:r w:rsidRPr="00D23C98">
        <w:rPr>
          <w:color w:val="auto"/>
        </w:rPr>
        <w:t>Stąd, przesłanki do pominięcia stosowania art. 99a k.p.k. mogą istnieć zarówno w odniesieniu do uzasadnienia wyroku sądu pierwszej instancji, jak i sądu odwoławczego.</w:t>
      </w:r>
    </w:p>
    <w:p w14:paraId="572A4C99" w14:textId="3EC3393E" w:rsidR="00A600B2" w:rsidRPr="00D23C98" w:rsidRDefault="00A600B2" w:rsidP="00A600B2">
      <w:pPr>
        <w:ind w:firstLine="284"/>
        <w:rPr>
          <w:color w:val="auto"/>
        </w:rPr>
      </w:pPr>
      <w:r w:rsidRPr="00D23C98">
        <w:rPr>
          <w:color w:val="auto"/>
        </w:rPr>
        <w:t>Mając zatem na uwadze powyższe względy, wniosek w zakresie sporządzenia uzasadnienia z pominięciem formularza, o którym mowa w art. 99a k.p.k.</w:t>
      </w:r>
      <w:r w:rsidR="00F70C12">
        <w:rPr>
          <w:color w:val="auto"/>
        </w:rPr>
        <w:t>,</w:t>
      </w:r>
      <w:r w:rsidRPr="00D23C98">
        <w:rPr>
          <w:color w:val="auto"/>
        </w:rPr>
        <w:t xml:space="preserve"> uznać należy za konieczny.</w:t>
      </w:r>
    </w:p>
    <w:p w14:paraId="4832CE44" w14:textId="77777777" w:rsidR="00B030DE" w:rsidRPr="00D23C98" w:rsidRDefault="00B030DE">
      <w:pPr>
        <w:rPr>
          <w:color w:val="auto"/>
        </w:rPr>
      </w:pPr>
    </w:p>
    <w:sectPr w:rsidR="00B030DE" w:rsidRPr="00D2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5C6A"/>
    <w:multiLevelType w:val="hybridMultilevel"/>
    <w:tmpl w:val="4FE221CA"/>
    <w:lvl w:ilvl="0" w:tplc="84DEA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B2"/>
    <w:rsid w:val="0008399C"/>
    <w:rsid w:val="00165C41"/>
    <w:rsid w:val="00275FCE"/>
    <w:rsid w:val="00343119"/>
    <w:rsid w:val="003B65E1"/>
    <w:rsid w:val="003F5938"/>
    <w:rsid w:val="00633497"/>
    <w:rsid w:val="007A598F"/>
    <w:rsid w:val="00845E9E"/>
    <w:rsid w:val="0088106D"/>
    <w:rsid w:val="00904649"/>
    <w:rsid w:val="009A09E1"/>
    <w:rsid w:val="009B4E99"/>
    <w:rsid w:val="00A06D65"/>
    <w:rsid w:val="00A0778D"/>
    <w:rsid w:val="00A2542A"/>
    <w:rsid w:val="00A600B2"/>
    <w:rsid w:val="00B030DE"/>
    <w:rsid w:val="00BC719E"/>
    <w:rsid w:val="00C21B04"/>
    <w:rsid w:val="00C53403"/>
    <w:rsid w:val="00D23C98"/>
    <w:rsid w:val="00EB3E16"/>
    <w:rsid w:val="00ED26B4"/>
    <w:rsid w:val="00F70C12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9C8D"/>
  <w15:chartTrackingRefBased/>
  <w15:docId w15:val="{567C29F8-EE04-43EE-B615-4AF7932F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0B2"/>
    <w:pPr>
      <w:spacing w:line="360" w:lineRule="auto"/>
      <w:ind w:firstLine="425"/>
      <w:jc w:val="both"/>
      <w:textboxTightWrap w:val="allLines"/>
    </w:pPr>
    <w:rPr>
      <w:color w:val="1D1D1B"/>
      <w:sz w:val="21"/>
    </w:rPr>
  </w:style>
  <w:style w:type="paragraph" w:styleId="Nagwek1">
    <w:name w:val="heading 1"/>
    <w:aliases w:val="tytuł"/>
    <w:basedOn w:val="Normalny"/>
    <w:next w:val="Normalny"/>
    <w:link w:val="Nagwek1Znak"/>
    <w:autoRedefine/>
    <w:uiPriority w:val="9"/>
    <w:qFormat/>
    <w:rsid w:val="00A600B2"/>
    <w:pPr>
      <w:spacing w:before="240" w:after="240"/>
      <w:ind w:firstLine="0"/>
      <w:jc w:val="center"/>
      <w:outlineLvl w:val="0"/>
    </w:pPr>
    <w:rPr>
      <w:rFonts w:eastAsiaTheme="majorEastAsia" w:cstheme="majorBidi"/>
      <w:b/>
      <w:sz w:val="22"/>
    </w:rPr>
  </w:style>
  <w:style w:type="paragraph" w:styleId="Nagwek2">
    <w:name w:val="heading 2"/>
    <w:aliases w:val="adresat"/>
    <w:basedOn w:val="Normalny"/>
    <w:next w:val="Normalny"/>
    <w:link w:val="Nagwek2Znak"/>
    <w:uiPriority w:val="9"/>
    <w:unhideWhenUsed/>
    <w:qFormat/>
    <w:rsid w:val="0088106D"/>
    <w:pPr>
      <w:spacing w:before="40" w:after="0"/>
      <w:ind w:left="4956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strony"/>
    <w:basedOn w:val="Normalny"/>
    <w:next w:val="Normalny"/>
    <w:link w:val="Nagwek3Znak"/>
    <w:uiPriority w:val="9"/>
    <w:semiHidden/>
    <w:unhideWhenUsed/>
    <w:qFormat/>
    <w:rsid w:val="00881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A600B2"/>
    <w:rPr>
      <w:rFonts w:eastAsiaTheme="majorEastAsia" w:cstheme="majorBidi"/>
      <w:b/>
      <w:color w:val="1D1D1B"/>
    </w:rPr>
  </w:style>
  <w:style w:type="character" w:customStyle="1" w:styleId="Nagwek2Znak">
    <w:name w:val="Nagłówek 2 Znak"/>
    <w:aliases w:val="adresat Znak"/>
    <w:basedOn w:val="Domylnaczcionkaakapitu"/>
    <w:link w:val="Nagwek2"/>
    <w:uiPriority w:val="9"/>
    <w:rsid w:val="0088106D"/>
    <w:rPr>
      <w:rFonts w:eastAsiaTheme="majorEastAsia" w:cstheme="majorBidi"/>
      <w:color w:val="1D1D1B"/>
      <w:sz w:val="21"/>
      <w:szCs w:val="26"/>
    </w:rPr>
  </w:style>
  <w:style w:type="paragraph" w:styleId="Bezodstpw">
    <w:name w:val="No Spacing"/>
    <w:aliases w:val="Załączniki"/>
    <w:uiPriority w:val="1"/>
    <w:qFormat/>
    <w:rsid w:val="0088106D"/>
    <w:pPr>
      <w:spacing w:after="0" w:line="360" w:lineRule="auto"/>
      <w:jc w:val="both"/>
      <w:textboxTightWrap w:val="allLines"/>
    </w:pPr>
    <w:rPr>
      <w:color w:val="1D1D1B"/>
      <w:sz w:val="18"/>
    </w:rPr>
  </w:style>
  <w:style w:type="character" w:customStyle="1" w:styleId="Nagwek3Znak">
    <w:name w:val="Nagłówek 3 Znak"/>
    <w:aliases w:val="strony Znak"/>
    <w:basedOn w:val="Domylnaczcionkaakapitu"/>
    <w:link w:val="Nagwek3"/>
    <w:uiPriority w:val="9"/>
    <w:semiHidden/>
    <w:rsid w:val="0088106D"/>
    <w:rPr>
      <w:rFonts w:ascii="Calibri" w:eastAsiaTheme="majorEastAsia" w:hAnsi="Calibri" w:cstheme="majorBidi"/>
      <w:b/>
      <w:color w:val="1D1D1B"/>
      <w:sz w:val="18"/>
      <w:szCs w:val="24"/>
    </w:rPr>
  </w:style>
  <w:style w:type="paragraph" w:styleId="Akapitzlist">
    <w:name w:val="List Paragraph"/>
    <w:basedOn w:val="Normalny"/>
    <w:uiPriority w:val="34"/>
    <w:qFormat/>
    <w:rsid w:val="00A600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7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C854C647A4A34194C36E4DAD5CCE91" ma:contentTypeVersion="10" ma:contentTypeDescription="Utwórz nowy dokument." ma:contentTypeScope="" ma:versionID="09a5c27fe5069f004d641b588401dddd">
  <xsd:schema xmlns:xsd="http://www.w3.org/2001/XMLSchema" xmlns:xs="http://www.w3.org/2001/XMLSchema" xmlns:p="http://schemas.microsoft.com/office/2006/metadata/properties" xmlns:ns3="31c7aab2-e50e-4112-a2cb-3a47da0cbb2a" targetNamespace="http://schemas.microsoft.com/office/2006/metadata/properties" ma:root="true" ma:fieldsID="0d2d9bdec2e75928d9a837ce34929c48" ns3:_="">
    <xsd:import namespace="31c7aab2-e50e-4112-a2cb-3a47da0cb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aab2-e50e-4112-a2cb-3a47da0cb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0D060-6F95-440C-8BA0-CE111FBE2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114C8-FC08-4897-AC4C-AB0056A6C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DE1F7E-4609-4A2E-8438-6BEE22521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7aab2-e50e-4112-a2cb-3a47da0c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Adwokackie "Defensor Iuris"</dc:creator>
  <cp:keywords/>
  <dc:description/>
  <cp:lastModifiedBy>Anna Kątnik-Mania</cp:lastModifiedBy>
  <cp:revision>2</cp:revision>
  <dcterms:created xsi:type="dcterms:W3CDTF">2020-11-03T19:37:00Z</dcterms:created>
  <dcterms:modified xsi:type="dcterms:W3CDTF">2020-11-03T19:37:00Z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0x0101009BC854C647A4A34194C36E4DAD5CCE91</vt:lpwstr>
  </property>
</Properties>
</file>