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84"/>
      </w:tblGrid>
      <w:tr w:rsidR="001F6979" w14:paraId="7031824C" w14:textId="77777777" w:rsidTr="001F6979">
        <w:trPr>
          <w:trHeight w:val="425"/>
        </w:trPr>
        <w:tc>
          <w:tcPr>
            <w:tcW w:w="708" w:type="dxa"/>
          </w:tcPr>
          <w:p w14:paraId="4B89156C" w14:textId="77777777" w:rsidR="001F6979" w:rsidRDefault="001F6979" w:rsidP="001F6979">
            <w:pPr>
              <w:spacing w:before="18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……………………………………………..,</w:t>
            </w:r>
          </w:p>
        </w:tc>
        <w:tc>
          <w:tcPr>
            <w:tcW w:w="4531" w:type="dxa"/>
          </w:tcPr>
          <w:p w14:paraId="65079D7C" w14:textId="77777777" w:rsidR="001F6979" w:rsidRDefault="001F6979" w:rsidP="001F6979">
            <w:pPr>
              <w:spacing w:before="18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dnia …………………………………………. r.</w:t>
            </w:r>
          </w:p>
        </w:tc>
      </w:tr>
      <w:tr w:rsidR="001F6979" w14:paraId="6B595716" w14:textId="77777777" w:rsidTr="001F6979">
        <w:trPr>
          <w:trHeight w:val="420"/>
        </w:trPr>
        <w:tc>
          <w:tcPr>
            <w:tcW w:w="708" w:type="dxa"/>
          </w:tcPr>
          <w:p w14:paraId="36609F29" w14:textId="77777777" w:rsidR="001F6979" w:rsidRDefault="001F6979" w:rsidP="001F6979">
            <w:pPr>
              <w:spacing w:after="18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(miejscowość)</w:t>
            </w:r>
          </w:p>
        </w:tc>
        <w:tc>
          <w:tcPr>
            <w:tcW w:w="4531" w:type="dxa"/>
          </w:tcPr>
          <w:p w14:paraId="33C6C3FC" w14:textId="77777777" w:rsidR="001F6979" w:rsidRDefault="001F6979" w:rsidP="001F6979">
            <w:pPr>
              <w:spacing w:after="18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</w:tr>
    </w:tbl>
    <w:p w14:paraId="5D6EDE34" w14:textId="77777777" w:rsidR="001F6979" w:rsidRDefault="001F6979" w:rsidP="001F6979">
      <w:pPr>
        <w:spacing w:before="180" w:after="180"/>
        <w:jc w:val="right"/>
        <w:rPr>
          <w:sz w:val="18"/>
          <w:szCs w:val="18"/>
        </w:rPr>
      </w:pPr>
    </w:p>
    <w:p w14:paraId="014F4A6F" w14:textId="77777777" w:rsidR="001F6979" w:rsidRPr="00285201" w:rsidRDefault="001F6979" w:rsidP="001F6979">
      <w:pPr>
        <w:spacing w:before="180" w:after="180"/>
        <w:ind w:left="425" w:firstLine="567"/>
        <w:jc w:val="right"/>
        <w:rPr>
          <w:sz w:val="18"/>
          <w:szCs w:val="18"/>
        </w:rPr>
      </w:pPr>
    </w:p>
    <w:p w14:paraId="59E73A1F" w14:textId="77777777" w:rsidR="001F6979" w:rsidRPr="001F6979" w:rsidRDefault="001F6979" w:rsidP="001F6979">
      <w:pPr>
        <w:spacing w:after="0"/>
        <w:ind w:firstLine="5387"/>
        <w:rPr>
          <w:b/>
          <w:sz w:val="22"/>
        </w:rPr>
      </w:pPr>
      <w:bookmarkStart w:id="0" w:name="_Hlk5019298"/>
      <w:r w:rsidRPr="001F6979">
        <w:rPr>
          <w:b/>
          <w:sz w:val="22"/>
        </w:rPr>
        <w:t>PROKURATURA ………………………………….</w:t>
      </w:r>
    </w:p>
    <w:p w14:paraId="16ADA124" w14:textId="77777777" w:rsidR="001F6979" w:rsidRPr="001F6979" w:rsidRDefault="001F6979" w:rsidP="001F6979">
      <w:pPr>
        <w:pStyle w:val="Nagwek2"/>
        <w:spacing w:before="0"/>
        <w:rPr>
          <w:sz w:val="22"/>
          <w:szCs w:val="22"/>
        </w:rPr>
      </w:pPr>
      <w:r w:rsidRPr="001F6979">
        <w:rPr>
          <w:sz w:val="22"/>
          <w:szCs w:val="22"/>
        </w:rPr>
        <w:t>UL. ………………………………………………………</w:t>
      </w:r>
    </w:p>
    <w:p w14:paraId="1E0B93E8" w14:textId="77777777" w:rsidR="001F6979" w:rsidRPr="001F6979" w:rsidRDefault="001F6979" w:rsidP="001F6979">
      <w:pPr>
        <w:pStyle w:val="Nagwek2"/>
        <w:rPr>
          <w:sz w:val="22"/>
          <w:szCs w:val="22"/>
        </w:rPr>
      </w:pPr>
      <w:r w:rsidRPr="001F6979">
        <w:rPr>
          <w:sz w:val="22"/>
          <w:szCs w:val="22"/>
        </w:rPr>
        <w:t>…. - ………  ……………………………………………</w:t>
      </w:r>
    </w:p>
    <w:p w14:paraId="3D35FD1A" w14:textId="77777777" w:rsidR="001F6979" w:rsidRDefault="001F6979" w:rsidP="001F6979">
      <w:pPr>
        <w:ind w:firstLine="0"/>
      </w:pPr>
    </w:p>
    <w:p w14:paraId="5B3BB5C5" w14:textId="77777777" w:rsidR="001F6979" w:rsidRPr="008F4AEC" w:rsidRDefault="001F6979" w:rsidP="001F6979">
      <w:pPr>
        <w:ind w:firstLine="0"/>
      </w:pPr>
      <w:r w:rsidRPr="008F4AEC">
        <w:t xml:space="preserve">SYGNATURA AKT: </w:t>
      </w:r>
      <w:bookmarkEnd w:id="0"/>
      <w:r>
        <w:t>………………….</w:t>
      </w:r>
    </w:p>
    <w:p w14:paraId="1CB932EA" w14:textId="77777777" w:rsidR="001F6979" w:rsidRPr="008F4AEC" w:rsidRDefault="001F6979" w:rsidP="001F6979">
      <w:pPr>
        <w:ind w:firstLine="0"/>
        <w:jc w:val="center"/>
        <w:rPr>
          <w:b/>
          <w:bCs/>
          <w:sz w:val="22"/>
        </w:rPr>
      </w:pPr>
      <w:r w:rsidRPr="008F4AEC">
        <w:rPr>
          <w:b/>
          <w:bCs/>
          <w:sz w:val="22"/>
        </w:rPr>
        <w:t>WNIOSEK OBROŃCY PODEJRZANEGO</w:t>
      </w:r>
    </w:p>
    <w:p w14:paraId="07E30783" w14:textId="77777777" w:rsidR="001F6979" w:rsidRPr="008F4AEC" w:rsidRDefault="001F6979" w:rsidP="001F6979">
      <w:pPr>
        <w:rPr>
          <w:szCs w:val="21"/>
        </w:rPr>
      </w:pPr>
      <w:r>
        <w:rPr>
          <w:szCs w:val="21"/>
        </w:rPr>
        <w:t>Jako ustanowiony w sprawie obrońca podejrzanego …………………………….., wnoszę o uchylenie środka zapobiegawczego w postaci dozoru Policji.</w:t>
      </w:r>
    </w:p>
    <w:p w14:paraId="2BA3F187" w14:textId="77777777" w:rsidR="001F6979" w:rsidRDefault="001F6979" w:rsidP="001F6979">
      <w:pPr>
        <w:ind w:firstLine="284"/>
        <w:rPr>
          <w:szCs w:val="21"/>
        </w:rPr>
      </w:pPr>
      <w:r>
        <w:rPr>
          <w:szCs w:val="21"/>
        </w:rPr>
        <w:t xml:space="preserve">Przedmiotowy wniosek jest </w:t>
      </w:r>
      <w:r w:rsidR="003E5F68">
        <w:rPr>
          <w:szCs w:val="21"/>
        </w:rPr>
        <w:t>uzasadniony</w:t>
      </w:r>
      <w:r>
        <w:rPr>
          <w:szCs w:val="21"/>
        </w:rPr>
        <w:t xml:space="preserve"> przede wszystkim </w:t>
      </w:r>
      <w:r w:rsidR="003E5F68">
        <w:rPr>
          <w:szCs w:val="21"/>
        </w:rPr>
        <w:t>koniecznością zapewnienia zarówno podejrzanemu, jak i członkom jego rodziny bezpieczeństwa, w tym także ochrony przed utratą przez nich życia i zdrowia.</w:t>
      </w:r>
    </w:p>
    <w:p w14:paraId="4B757FB7" w14:textId="25DD18AC" w:rsidR="001F6979" w:rsidRPr="007B2CF1" w:rsidRDefault="001F6979" w:rsidP="001F6979">
      <w:pPr>
        <w:ind w:firstLine="284"/>
      </w:pPr>
      <w:r>
        <w:rPr>
          <w:szCs w:val="21"/>
        </w:rPr>
        <w:t>Aktualnie</w:t>
      </w:r>
      <w:r w:rsidR="003E5F68">
        <w:rPr>
          <w:szCs w:val="21"/>
        </w:rPr>
        <w:t xml:space="preserve"> bowiem</w:t>
      </w:r>
      <w:r>
        <w:rPr>
          <w:szCs w:val="21"/>
        </w:rPr>
        <w:t>, w</w:t>
      </w:r>
      <w:r w:rsidRPr="007B2CF1">
        <w:t xml:space="preserve"> związku ze stwierdzoną przez WHO pandemią koronawirusa, a także ogłoszonym przez</w:t>
      </w:r>
      <w:r>
        <w:t> </w:t>
      </w:r>
      <w:r w:rsidRPr="007B2CF1">
        <w:t xml:space="preserve">Prezesa Rady Ministrów Mateusza Morawieckiego stanem epidemii, kilkukrotne, systematyczne pojawianie się przez podejrzanego na komisariacie Policji – w miejscu publicznym, gdzie przebywa wiele osób – może narazić </w:t>
      </w:r>
      <w:r w:rsidR="003E5F68">
        <w:t>go</w:t>
      </w:r>
      <w:r w:rsidRPr="007B2CF1">
        <w:t xml:space="preserve"> na utratę życia lub zdrowia</w:t>
      </w:r>
      <w:r>
        <w:t xml:space="preserve">, a także stanowić takie zagrożenie dla jego </w:t>
      </w:r>
      <w:r w:rsidR="003E5F68">
        <w:t>członków rodziny</w:t>
      </w:r>
      <w:r>
        <w:t>, z którymi obecnie zamieszkuje</w:t>
      </w:r>
      <w:r w:rsidRPr="007B2CF1">
        <w:t>. Co więcej</w:t>
      </w:r>
      <w:r w:rsidR="00784280">
        <w:t xml:space="preserve"> wskazać należy, że </w:t>
      </w:r>
      <w:r w:rsidRPr="007B2CF1">
        <w:t>Stowarzyszenie Adwokackie „Defensor Iuris” wystąpiło do Prokuratora Generalnego Zbigniewa Ziobro, a także Komendanta Głównego Policji gen. insp. dr. Jarosława Szymczyka</w:t>
      </w:r>
      <w:r w:rsidR="007E7C16">
        <w:t>,</w:t>
      </w:r>
      <w:r w:rsidRPr="007B2CF1">
        <w:t xml:space="preserve"> z wnioskiem o udzielenie informacji publicznej w celu ustalenia m. in. czy i jakie zostały przedsięwzięte środki i zarządzenia</w:t>
      </w:r>
      <w:r w:rsidR="00784280">
        <w:t>,</w:t>
      </w:r>
      <w:r w:rsidRPr="007B2CF1">
        <w:t xml:space="preserve"> mające na celu zapewnienie bezpieczeństwa zdrowotnego uczestnikom postępowań</w:t>
      </w:r>
      <w:r w:rsidR="007E7C16">
        <w:t>. W</w:t>
      </w:r>
      <w:r>
        <w:t xml:space="preserve"> odniesieniu do wniosku skierowanego bezpośrednio do Komendanta Głównego</w:t>
      </w:r>
      <w:r w:rsidR="007E7C16">
        <w:t xml:space="preserve"> wniesiono o udzielenie informacji</w:t>
      </w:r>
      <w:r w:rsidRPr="007B2CF1">
        <w:t xml:space="preserve"> czy pracownikom</w:t>
      </w:r>
      <w:r>
        <w:t>,</w:t>
      </w:r>
      <w:r w:rsidRPr="007B2CF1">
        <w:t xml:space="preserve"> Policjantom</w:t>
      </w:r>
      <w:r w:rsidR="007E7C16">
        <w:t xml:space="preserve"> i</w:t>
      </w:r>
      <w:r w:rsidRPr="007B2CF1">
        <w:t xml:space="preserve"> uczestnikom postępowań</w:t>
      </w:r>
      <w:r w:rsidR="007E7C16" w:rsidRPr="007E7C16">
        <w:t xml:space="preserve"> zostały</w:t>
      </w:r>
      <w:r w:rsidRPr="007B2CF1">
        <w:t xml:space="preserve"> zapewnione środki ochrony bezpośredniej – rękawiczki i maseczki ochronne – </w:t>
      </w:r>
      <w:r w:rsidR="007E7C16">
        <w:t xml:space="preserve">ewentualnie </w:t>
      </w:r>
      <w:r w:rsidRPr="007B2CF1">
        <w:t>inne</w:t>
      </w:r>
      <w:r>
        <w:t>,</w:t>
      </w:r>
      <w:r w:rsidRPr="007B2CF1">
        <w:t xml:space="preserve"> a jeśli tak</w:t>
      </w:r>
      <w:r w:rsidR="007E7C16">
        <w:t>,</w:t>
      </w:r>
      <w:r w:rsidRPr="007B2CF1">
        <w:t xml:space="preserve"> to jakie, </w:t>
      </w:r>
      <w:r w:rsidR="00784280">
        <w:t xml:space="preserve">a także </w:t>
      </w:r>
      <w:r w:rsidRPr="007B2CF1">
        <w:t>czy budynki jednostek Policji są odkażane, jakimi preparatami, z jaką częstotliwością</w:t>
      </w:r>
      <w:r w:rsidR="007E7C16">
        <w:t xml:space="preserve"> i</w:t>
      </w:r>
      <w:r w:rsidRPr="007B2CF1">
        <w:t xml:space="preserve"> w jaki sposób</w:t>
      </w:r>
      <w:r>
        <w:t>.</w:t>
      </w:r>
    </w:p>
    <w:p w14:paraId="75B167BE" w14:textId="3A601F92" w:rsidR="001F6979" w:rsidRDefault="001F6979" w:rsidP="001F6979">
      <w:pPr>
        <w:ind w:firstLine="284"/>
        <w:rPr>
          <w:szCs w:val="21"/>
        </w:rPr>
      </w:pPr>
      <w:r>
        <w:rPr>
          <w:szCs w:val="21"/>
        </w:rPr>
        <w:t>Do d</w:t>
      </w:r>
      <w:r w:rsidR="007E7C16">
        <w:rPr>
          <w:szCs w:val="21"/>
        </w:rPr>
        <w:t>nia dzisiejszego</w:t>
      </w:r>
      <w:r>
        <w:rPr>
          <w:szCs w:val="21"/>
        </w:rPr>
        <w:t xml:space="preserve"> na to zapytanie nie udzielono odpowiedzi. </w:t>
      </w:r>
    </w:p>
    <w:p w14:paraId="31E5E32E" w14:textId="1EFFC7F8" w:rsidR="001F6979" w:rsidRDefault="001F6979" w:rsidP="001F6979">
      <w:pPr>
        <w:ind w:firstLine="284"/>
      </w:pPr>
      <w:r>
        <w:rPr>
          <w:szCs w:val="21"/>
        </w:rPr>
        <w:t>Obecnie nie wiadomo zatem, czy funkcjonariusze Policji, a także pozostali pracownicy jednostek Policji</w:t>
      </w:r>
      <w:r w:rsidR="00784280">
        <w:rPr>
          <w:szCs w:val="21"/>
        </w:rPr>
        <w:t>,</w:t>
      </w:r>
      <w:r>
        <w:rPr>
          <w:szCs w:val="21"/>
        </w:rPr>
        <w:t xml:space="preserve"> są w stanie zagwarantować bezpieczny pobyt</w:t>
      </w:r>
      <w:r w:rsidR="00784280">
        <w:rPr>
          <w:szCs w:val="21"/>
        </w:rPr>
        <w:t xml:space="preserve"> innym osobom</w:t>
      </w:r>
      <w:r>
        <w:rPr>
          <w:szCs w:val="21"/>
        </w:rPr>
        <w:t xml:space="preserve"> – nawet chwilowy – na terenie budynków </w:t>
      </w:r>
      <w:r>
        <w:rPr>
          <w:szCs w:val="21"/>
        </w:rPr>
        <w:lastRenderedPageBreak/>
        <w:t xml:space="preserve">należących </w:t>
      </w:r>
      <w:r w:rsidR="00784280">
        <w:rPr>
          <w:szCs w:val="21"/>
        </w:rPr>
        <w:t xml:space="preserve">do </w:t>
      </w:r>
      <w:r>
        <w:rPr>
          <w:szCs w:val="21"/>
        </w:rPr>
        <w:t xml:space="preserve">Policji. </w:t>
      </w:r>
      <w:r w:rsidR="002C0A61">
        <w:t>Nie jest więc wiadomym</w:t>
      </w:r>
      <w:r w:rsidR="002C0A61" w:rsidRPr="002C0A61">
        <w:t xml:space="preserve"> </w:t>
      </w:r>
      <w:r w:rsidR="002C0A61">
        <w:t xml:space="preserve">czy </w:t>
      </w:r>
      <w:r w:rsidR="002C0A61" w:rsidRPr="00F36E7A">
        <w:t>osoby przebywające na terenach budynków jednostek Policji są bezpieczne i nie powinny obawiać się zarażenia koronawirusem</w:t>
      </w:r>
      <w:r w:rsidR="002C0A61">
        <w:t xml:space="preserve">, albowiem </w:t>
      </w:r>
      <w:r w:rsidRPr="00F36E7A">
        <w:t>Komendant Główn</w:t>
      </w:r>
      <w:r w:rsidR="002C0A61">
        <w:t>y</w:t>
      </w:r>
      <w:r w:rsidRPr="00F36E7A">
        <w:t xml:space="preserve"> Policji</w:t>
      </w:r>
      <w:r w:rsidR="002C0A61">
        <w:t xml:space="preserve"> nie złożył takiego zapewnienia</w:t>
      </w:r>
      <w:r w:rsidRPr="00F36E7A">
        <w:t>.</w:t>
      </w:r>
    </w:p>
    <w:p w14:paraId="5B4918A0" w14:textId="5C229BE3" w:rsidR="001F6979" w:rsidRDefault="001F6979" w:rsidP="001F6979">
      <w:pPr>
        <w:ind w:firstLine="284"/>
      </w:pPr>
      <w:r>
        <w:t>W</w:t>
      </w:r>
      <w:r w:rsidR="00900D94">
        <w:t xml:space="preserve"> tym miejscu podkreślić należy, że w </w:t>
      </w:r>
      <w:r>
        <w:t xml:space="preserve">przypadku dojścia do zarażenia </w:t>
      </w:r>
      <w:r w:rsidR="00FE1A5E">
        <w:t xml:space="preserve">koronawirusem </w:t>
      </w:r>
      <w:r w:rsidR="00900D94">
        <w:t>dozorowanego</w:t>
      </w:r>
      <w:r w:rsidR="00FE1A5E">
        <w:t>,</w:t>
      </w:r>
      <w:r w:rsidR="00900D94">
        <w:t xml:space="preserve"> bądź innych osób zobligowanych do </w:t>
      </w:r>
      <w:r w:rsidR="00C530E0">
        <w:t>udziału w czynnościach,</w:t>
      </w:r>
      <w:r>
        <w:t xml:space="preserve"> </w:t>
      </w:r>
      <w:r w:rsidR="00900D94">
        <w:t xml:space="preserve">podczas </w:t>
      </w:r>
      <w:r w:rsidR="00C530E0">
        <w:t>ich</w:t>
      </w:r>
      <w:r w:rsidR="00900D94">
        <w:t xml:space="preserve"> pobytu</w:t>
      </w:r>
      <w:r>
        <w:t xml:space="preserve"> w budynku należącym do Skarbu Państwa, koniecznym stanie się rozważenie odpowiedzialności odszkodowawczej </w:t>
      </w:r>
      <w:r w:rsidR="00C530E0">
        <w:t xml:space="preserve">Skarbu Państwa wobec tych osób. </w:t>
      </w:r>
      <w:r w:rsidR="00FE1A5E">
        <w:t xml:space="preserve"> </w:t>
      </w:r>
    </w:p>
    <w:p w14:paraId="0147F869" w14:textId="77777777" w:rsidR="00843C4D" w:rsidRPr="005F1717" w:rsidRDefault="00843C4D" w:rsidP="00843C4D">
      <w:pPr>
        <w:ind w:firstLine="284"/>
        <w:rPr>
          <w:b/>
          <w:bCs/>
          <w:sz w:val="20"/>
          <w:szCs w:val="20"/>
        </w:rPr>
      </w:pPr>
      <w:r w:rsidRPr="005F1717">
        <w:rPr>
          <w:b/>
          <w:bCs/>
        </w:rPr>
        <w:t xml:space="preserve">Nie bez znaczenia pozostaje również rozporządzenie Ministra Zdrowia z dnia 24 marca 2020 r.  zmieniające rozporządzenie w sprawie ogłoszenia na obszarze Rzeczypospolitej Polskiej stanu epidemii, które weszło w życie dnia 25 marca 2020 r. Zgodnie z jego treścią podejrzany ma ustanowiony zakaz poruszania się, a wymienione w rozporządzeniu wyjątki nie obejmują czynności w ramach postępowania karnego.  Oznacza to, że stawiając się na czynności </w:t>
      </w:r>
      <w:r w:rsidRPr="005F1717">
        <w:rPr>
          <w:b/>
          <w:bCs/>
          <w:i/>
          <w:iCs/>
        </w:rPr>
        <w:t xml:space="preserve">de facto </w:t>
      </w:r>
      <w:r w:rsidRPr="005F1717">
        <w:rPr>
          <w:b/>
          <w:bCs/>
        </w:rPr>
        <w:t xml:space="preserve">narusza przepisy prawa powszechnie obowiązującego, a to z kolei może stanowić argument do stosowania bardziej dolegliwych środków zapobiegawczych. </w:t>
      </w:r>
    </w:p>
    <w:p w14:paraId="7DE007C8" w14:textId="4698E57C" w:rsidR="003E5F68" w:rsidRDefault="001F6979" w:rsidP="003E5F68">
      <w:pPr>
        <w:ind w:firstLine="426"/>
      </w:pPr>
      <w:bookmarkStart w:id="1" w:name="_GoBack"/>
      <w:bookmarkEnd w:id="1"/>
      <w:r>
        <w:t xml:space="preserve">Mając na uwadze powyższe, </w:t>
      </w:r>
      <w:r w:rsidR="00843C4D">
        <w:t xml:space="preserve">a także zapewnienie podejrzanego, iż będzie on przestrzegać porządku prawnego oraz nie będzie utrudniać bezprawnie postępowania, </w:t>
      </w:r>
      <w:r w:rsidR="003E5F68">
        <w:t>przedmiotowy wniosek jest konieczny i w pełni uzasadniony.</w:t>
      </w:r>
    </w:p>
    <w:p w14:paraId="16978117" w14:textId="77777777" w:rsidR="003E5F68" w:rsidRDefault="003E5F68" w:rsidP="003E5F68">
      <w:pPr>
        <w:ind w:firstLine="0"/>
      </w:pPr>
    </w:p>
    <w:p w14:paraId="4D400587" w14:textId="77777777" w:rsidR="003E5F68" w:rsidRDefault="003E5F68" w:rsidP="003E5F68">
      <w:pPr>
        <w:ind w:firstLine="0"/>
      </w:pPr>
    </w:p>
    <w:p w14:paraId="2C20F266" w14:textId="77777777" w:rsidR="003E5F68" w:rsidRPr="003E5F68" w:rsidRDefault="003E5F68" w:rsidP="003E5F68">
      <w:pPr>
        <w:ind w:firstLine="0"/>
        <w:rPr>
          <w:sz w:val="18"/>
          <w:szCs w:val="18"/>
        </w:rPr>
      </w:pPr>
      <w:r w:rsidRPr="003E5F68">
        <w:rPr>
          <w:sz w:val="18"/>
          <w:szCs w:val="18"/>
        </w:rPr>
        <w:t xml:space="preserve">Załączniki: wydruki zawierające pisma Prezesa Stowarzyszenia Defensor Iuris skierowane do Prokuratora Generalnego oraz Komendanta Głównego Policji. </w:t>
      </w:r>
    </w:p>
    <w:p w14:paraId="06FFEB2E" w14:textId="77777777" w:rsidR="00B030DE" w:rsidRDefault="00B030DE"/>
    <w:sectPr w:rsidR="00B0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79"/>
    <w:rsid w:val="000C5F0D"/>
    <w:rsid w:val="001F6979"/>
    <w:rsid w:val="002C0A61"/>
    <w:rsid w:val="003B65E1"/>
    <w:rsid w:val="003E5F68"/>
    <w:rsid w:val="003F5938"/>
    <w:rsid w:val="00784280"/>
    <w:rsid w:val="007A598F"/>
    <w:rsid w:val="007E7C16"/>
    <w:rsid w:val="00843C4D"/>
    <w:rsid w:val="0088106D"/>
    <w:rsid w:val="00900D94"/>
    <w:rsid w:val="009B4E99"/>
    <w:rsid w:val="00A06D65"/>
    <w:rsid w:val="00A2542A"/>
    <w:rsid w:val="00B030DE"/>
    <w:rsid w:val="00C530E0"/>
    <w:rsid w:val="00E74FBC"/>
    <w:rsid w:val="00E95E15"/>
    <w:rsid w:val="00EB3E16"/>
    <w:rsid w:val="00ED26B4"/>
    <w:rsid w:val="00FE1A5E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A52C"/>
  <w15:chartTrackingRefBased/>
  <w15:docId w15:val="{8910F620-A17E-4EB1-9067-5502738F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79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106D"/>
    <w:p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adresat"/>
    <w:basedOn w:val="Normalny"/>
    <w:next w:val="Normalny"/>
    <w:link w:val="Nagwek2Znak"/>
    <w:uiPriority w:val="9"/>
    <w:unhideWhenUsed/>
    <w:qFormat/>
    <w:rsid w:val="0088106D"/>
    <w:pPr>
      <w:spacing w:before="40" w:after="0"/>
      <w:ind w:left="4956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strony"/>
    <w:basedOn w:val="Normalny"/>
    <w:next w:val="Normalny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06D"/>
    <w:rPr>
      <w:rFonts w:eastAsiaTheme="majorEastAsia" w:cstheme="majorBidi"/>
      <w:b/>
      <w:color w:val="1D1D1B"/>
      <w:sz w:val="21"/>
      <w:szCs w:val="32"/>
    </w:rPr>
  </w:style>
  <w:style w:type="character" w:customStyle="1" w:styleId="Nagwek2Znak">
    <w:name w:val="Nagłówek 2 Znak"/>
    <w:aliases w:val="adresat Znak"/>
    <w:basedOn w:val="Domylnaczcionkaakapitu"/>
    <w:link w:val="Nagwek2"/>
    <w:uiPriority w:val="9"/>
    <w:rsid w:val="0088106D"/>
    <w:rPr>
      <w:rFonts w:eastAsiaTheme="majorEastAsia" w:cstheme="majorBidi"/>
      <w:color w:val="1D1D1B"/>
      <w:sz w:val="21"/>
      <w:szCs w:val="26"/>
    </w:rPr>
  </w:style>
  <w:style w:type="paragraph" w:styleId="Bezodstpw">
    <w:name w:val="No Spacing"/>
    <w:aliases w:val="Załączniki"/>
    <w:uiPriority w:val="1"/>
    <w:qFormat/>
    <w:rsid w:val="0088106D"/>
    <w:pPr>
      <w:spacing w:after="0" w:line="360" w:lineRule="auto"/>
      <w:jc w:val="both"/>
      <w:textboxTightWrap w:val="allLines"/>
    </w:pPr>
    <w:rPr>
      <w:color w:val="1D1D1B"/>
      <w:sz w:val="18"/>
    </w:rPr>
  </w:style>
  <w:style w:type="character" w:customStyle="1" w:styleId="Nagwek3Znak">
    <w:name w:val="Nagłówek 3 Znak"/>
    <w:aliases w:val="strony Znak"/>
    <w:basedOn w:val="Domylnaczcionkaakapitu"/>
    <w:link w:val="Nagwek3"/>
    <w:uiPriority w:val="9"/>
    <w:semiHidden/>
    <w:rsid w:val="0088106D"/>
    <w:rPr>
      <w:rFonts w:ascii="Calibri" w:eastAsiaTheme="majorEastAsia" w:hAnsi="Calibri" w:cstheme="majorBidi"/>
      <w:b/>
      <w:color w:val="1D1D1B"/>
      <w:sz w:val="18"/>
      <w:szCs w:val="24"/>
    </w:rPr>
  </w:style>
  <w:style w:type="table" w:styleId="Tabela-Siatka">
    <w:name w:val="Table Grid"/>
    <w:basedOn w:val="Standardowy"/>
    <w:uiPriority w:val="39"/>
    <w:rsid w:val="001F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854C647A4A34194C36E4DAD5CCE91" ma:contentTypeVersion="8" ma:contentTypeDescription="Utwórz nowy dokument." ma:contentTypeScope="" ma:versionID="142096efa2e03d8fc80c98b9e029f485">
  <xsd:schema xmlns:xsd="http://www.w3.org/2001/XMLSchema" xmlns:xs="http://www.w3.org/2001/XMLSchema" xmlns:p="http://schemas.microsoft.com/office/2006/metadata/properties" xmlns:ns3="31c7aab2-e50e-4112-a2cb-3a47da0cbb2a" targetNamespace="http://schemas.microsoft.com/office/2006/metadata/properties" ma:root="true" ma:fieldsID="41240ca68fd881c13ac4adf9a59ddd54" ns3:_="">
    <xsd:import namespace="31c7aab2-e50e-4112-a2cb-3a47da0c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aab2-e50e-4112-a2cb-3a47da0c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AA882-3D7E-4EF0-98E5-FDCDB3F42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59F33-6F40-4310-B4EA-8716AB8CD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aab2-e50e-4112-a2cb-3a47da0c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2B5EB-D532-462B-8C91-DB713FD870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 Iuris</dc:creator>
  <cp:keywords/>
  <dc:description/>
  <cp:lastModifiedBy>Anna Kątnik-Mania</cp:lastModifiedBy>
  <cp:revision>6</cp:revision>
  <dcterms:created xsi:type="dcterms:W3CDTF">2020-03-24T17:10:00Z</dcterms:created>
  <dcterms:modified xsi:type="dcterms:W3CDTF">2020-03-25T17:00:00Z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0x0101009BC854C647A4A34194C36E4DAD5CCE91</vt:lpwstr>
  </property>
</Properties>
</file>